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F388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3009DA"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FF45F4" w:rsidRDefault="00FF45F4" w:rsidP="003B105E">
      <w:pPr>
        <w:rPr>
          <w:b/>
          <w:sz w:val="28"/>
          <w:szCs w:val="28"/>
        </w:rPr>
      </w:pPr>
    </w:p>
    <w:p w:rsidR="00384510" w:rsidRDefault="00384510" w:rsidP="003B105E">
      <w:pPr>
        <w:rPr>
          <w:b/>
          <w:sz w:val="28"/>
          <w:szCs w:val="28"/>
        </w:rPr>
      </w:pPr>
      <w:r>
        <w:rPr>
          <w:b/>
          <w:sz w:val="28"/>
          <w:szCs w:val="28"/>
        </w:rPr>
        <w:t>Perceptions of Modern Judaism</w:t>
      </w:r>
    </w:p>
    <w:p w:rsidR="00C40742" w:rsidRDefault="00D31AF6" w:rsidP="00C40742">
      <w:pPr>
        <w:rPr>
          <w:b/>
          <w:sz w:val="32"/>
          <w:szCs w:val="32"/>
        </w:rPr>
      </w:pPr>
      <w:r w:rsidRPr="00D31AF6">
        <w:rPr>
          <w:b/>
          <w:sz w:val="32"/>
          <w:szCs w:val="32"/>
        </w:rPr>
        <w:t>How is the Holocaust viewed outside of the Jewish Community?</w:t>
      </w:r>
    </w:p>
    <w:p w:rsidR="00D31AF6" w:rsidRDefault="00D31AF6" w:rsidP="00D31AF6">
      <w:pPr>
        <w:pStyle w:val="Heading1"/>
      </w:pPr>
      <w:hyperlink r:id="rId9" w:history="1">
        <w:r w:rsidRPr="002E097E">
          <w:rPr>
            <w:rStyle w:val="Hyperlink"/>
            <w:b/>
          </w:rPr>
          <w:t>https://www.ushmm.org/wlc/en/article.php?ModuleId=10007822</w:t>
        </w:r>
      </w:hyperlink>
    </w:p>
    <w:p w:rsidR="00D31AF6" w:rsidRDefault="00D31AF6" w:rsidP="00C40742">
      <w:pPr>
        <w:rPr>
          <w:b/>
          <w:sz w:val="32"/>
          <w:szCs w:val="32"/>
        </w:rPr>
      </w:pPr>
    </w:p>
    <w:p w:rsidR="00D31AF6" w:rsidRPr="00D31AF6" w:rsidRDefault="00D31AF6" w:rsidP="00D31AF6">
      <w:pPr>
        <w:rPr>
          <w:b/>
          <w:sz w:val="32"/>
          <w:szCs w:val="32"/>
        </w:rPr>
      </w:pPr>
      <w:r w:rsidRPr="00D31AF6">
        <w:rPr>
          <w:b/>
          <w:sz w:val="32"/>
          <w:szCs w:val="32"/>
        </w:rPr>
        <w:t>DECEIVING THE PUBLIC</w:t>
      </w:r>
    </w:p>
    <w:p w:rsidR="00D31AF6" w:rsidRPr="00D31AF6" w:rsidRDefault="00D31AF6" w:rsidP="00D31AF6">
      <w:pPr>
        <w:pStyle w:val="NoSpacing"/>
      </w:pPr>
      <w:r w:rsidRPr="00D31AF6">
        <w:t xml:space="preserve"> </w:t>
      </w:r>
      <w:r w:rsidRPr="00D31AF6">
        <w:t>“Common sense could not understand that it was possible to exterminate tens and hundreds of thousands of Jews,” —Yitzhak Zuckerman, a leader of the Jewish resistance in Warsaw</w:t>
      </w:r>
    </w:p>
    <w:p w:rsidR="00D31AF6" w:rsidRPr="00D31AF6" w:rsidRDefault="00D31AF6" w:rsidP="00D31AF6">
      <w:pPr>
        <w:pStyle w:val="NoSpacing"/>
      </w:pPr>
    </w:p>
    <w:p w:rsidR="00D31AF6" w:rsidRPr="00D31AF6" w:rsidRDefault="00D31AF6" w:rsidP="00D31AF6">
      <w:pPr>
        <w:pStyle w:val="NoSpacing"/>
      </w:pPr>
      <w:r w:rsidRPr="00D31AF6">
        <w:t>Propaganda was as an important tool to win over the majority of the German public who had not supported Adolf Hitler. It served to push forward the Nazis' radical program, which required the acquiescence, support, or participation of broad sectors of the population.</w:t>
      </w:r>
    </w:p>
    <w:p w:rsidR="00D31AF6" w:rsidRPr="00D31AF6" w:rsidRDefault="00D31AF6" w:rsidP="00D31AF6">
      <w:pPr>
        <w:pStyle w:val="NoSpacing"/>
      </w:pPr>
    </w:p>
    <w:p w:rsidR="00D31AF6" w:rsidRPr="00D31AF6" w:rsidRDefault="00D31AF6" w:rsidP="00D31AF6">
      <w:pPr>
        <w:pStyle w:val="NoSpacing"/>
      </w:pPr>
      <w:r w:rsidRPr="00D31AF6">
        <w:t>Combined with terror to intimidate those who did not comply, a new state propaganda apparatus headed by Joseph Goebbels manipulated and deceived the German population and the outside world. Propagandists preached an appealing message of national unity and a utopian future that resonated with millions of Germans. They also waged campaigns that facilitated the persecution of Jews and others excluded from the Nazi vision of the “National Community.”</w:t>
      </w:r>
    </w:p>
    <w:p w:rsidR="00D31AF6" w:rsidRPr="00D31AF6" w:rsidRDefault="00D31AF6" w:rsidP="00D31AF6">
      <w:pPr>
        <w:pStyle w:val="NoSpacing"/>
      </w:pPr>
    </w:p>
    <w:p w:rsidR="00D31AF6" w:rsidRPr="00D31AF6" w:rsidRDefault="00D31AF6" w:rsidP="00D31AF6">
      <w:pPr>
        <w:pStyle w:val="NoSpacing"/>
      </w:pPr>
      <w:r w:rsidRPr="00D31AF6">
        <w:t>Propaganda, Foreign Policy, and Conspiring to Wage War</w:t>
      </w:r>
    </w:p>
    <w:p w:rsidR="00D31AF6" w:rsidRPr="00D31AF6" w:rsidRDefault="00D31AF6" w:rsidP="00D31AF6">
      <w:pPr>
        <w:pStyle w:val="NoSpacing"/>
      </w:pPr>
    </w:p>
    <w:p w:rsidR="00D31AF6" w:rsidRPr="00D31AF6" w:rsidRDefault="00D31AF6" w:rsidP="00D31AF6">
      <w:pPr>
        <w:pStyle w:val="NoSpacing"/>
      </w:pPr>
      <w:r w:rsidRPr="00D31AF6">
        <w:t>Rearmament was a key element of German national policy after the Nazi takeover in early 1933, as it was under the democratic Weimar government. German leaders hoped to achieve this goal without causing preventive military intervention by France, Great Britain, or the states on Germany's eastern borders, Poland and Czechoslovakia. The regime also did not want to frighten a German population anxious about another European war. The specter of World War I and the deaths of 2 million German soldiers in that conflict still haunted popular memory.</w:t>
      </w:r>
    </w:p>
    <w:p w:rsidR="00D31AF6" w:rsidRPr="00D31AF6" w:rsidRDefault="00D31AF6" w:rsidP="00D31AF6">
      <w:pPr>
        <w:pStyle w:val="NoSpacing"/>
      </w:pPr>
    </w:p>
    <w:p w:rsidR="00D31AF6" w:rsidRPr="00D31AF6" w:rsidRDefault="00D31AF6" w:rsidP="00D31AF6">
      <w:pPr>
        <w:pStyle w:val="NoSpacing"/>
      </w:pPr>
      <w:r w:rsidRPr="00D31AF6">
        <w:t>Throughout the 1930s, Hitler portrayed Germany as a victimized nation, held in bondage by the chains of the post-World War I Versailles Treaty and denied the right of national self-determination.</w:t>
      </w:r>
    </w:p>
    <w:p w:rsidR="00D31AF6" w:rsidRPr="00D31AF6" w:rsidRDefault="00D31AF6" w:rsidP="00D31AF6">
      <w:pPr>
        <w:pStyle w:val="NoSpacing"/>
      </w:pPr>
    </w:p>
    <w:p w:rsidR="00D31AF6" w:rsidRPr="00D31AF6" w:rsidRDefault="00D31AF6" w:rsidP="00D31AF6">
      <w:pPr>
        <w:pStyle w:val="NoSpacing"/>
      </w:pPr>
      <w:r w:rsidRPr="00D31AF6">
        <w:t>Wartime propagandists universally justify the use of military violence by portraying it as morally defensible and necessary. To do otherwise would jeopardize public morale and faith in the government and its armed forces. Throughout World War II, Nazi propagandists disguised military aggression aimed at territorial conquest as righteous and necessary acts of self-defense. They cast Germany as a victim or potential victim of foreign aggressors, as a peace-loving nation forced to take up arms to protect its populace or defend European civilization against Communism.</w:t>
      </w:r>
    </w:p>
    <w:p w:rsidR="00D31AF6" w:rsidRPr="00D31AF6" w:rsidRDefault="00D31AF6" w:rsidP="00D31AF6">
      <w:pPr>
        <w:pStyle w:val="NoSpacing"/>
      </w:pPr>
    </w:p>
    <w:p w:rsidR="00D31AF6" w:rsidRPr="00D31AF6" w:rsidRDefault="00D31AF6" w:rsidP="00D31AF6">
      <w:pPr>
        <w:pStyle w:val="NoSpacing"/>
      </w:pPr>
      <w:r w:rsidRPr="00D31AF6">
        <w:t>The war aims professed at each stage of the hostilities almost always disguised Nazi intentions of territorial expansion and racial warfare. This was propaganda of deception, designed to fool or misdirect the populations in Germany, German-occupied lands, and the neutral countries.</w:t>
      </w:r>
    </w:p>
    <w:p w:rsidR="00D31AF6" w:rsidRPr="00D31AF6" w:rsidRDefault="00D31AF6" w:rsidP="00D31AF6">
      <w:pPr>
        <w:pStyle w:val="NoSpacing"/>
      </w:pPr>
    </w:p>
    <w:p w:rsidR="00D31AF6" w:rsidRPr="00D31AF6" w:rsidRDefault="00D31AF6" w:rsidP="00D31AF6">
      <w:pPr>
        <w:pStyle w:val="NoSpacing"/>
      </w:pPr>
      <w:r w:rsidRPr="00D31AF6">
        <w:t>Preparing the Nation for War</w:t>
      </w:r>
    </w:p>
    <w:p w:rsidR="00D31AF6" w:rsidRPr="00D31AF6" w:rsidRDefault="00D31AF6" w:rsidP="00D31AF6">
      <w:pPr>
        <w:pStyle w:val="NoSpacing"/>
      </w:pPr>
    </w:p>
    <w:p w:rsidR="00D31AF6" w:rsidRPr="00D31AF6" w:rsidRDefault="00D31AF6" w:rsidP="00D31AF6">
      <w:pPr>
        <w:pStyle w:val="NoSpacing"/>
      </w:pPr>
      <w:r w:rsidRPr="00D31AF6">
        <w:t>In summer 1939, as Adolf Hitler and his aides finalized plans for the invasion of Poland, the public mood in Germany was tense and fearful. Germans were emboldened by the recent dramatic extension of Germany's borders into neighboring Austria and Czechoslovakia without having fired a shot; but they did not line the streets calling for war, as the generation of 1914 had done.</w:t>
      </w:r>
    </w:p>
    <w:p w:rsidR="00D31AF6" w:rsidRPr="00D31AF6" w:rsidRDefault="00D31AF6" w:rsidP="00D31AF6">
      <w:pPr>
        <w:pStyle w:val="NoSpacing"/>
      </w:pPr>
    </w:p>
    <w:p w:rsidR="00D31AF6" w:rsidRPr="00D31AF6" w:rsidRDefault="00D31AF6" w:rsidP="00D31AF6">
      <w:pPr>
        <w:pStyle w:val="NoSpacing"/>
      </w:pPr>
      <w:r w:rsidRPr="00D31AF6">
        <w:t>Before the German attack on Poland on September 1, 1939, the Nazi regime launched an aggressive media campaign to build public support for a war that few Germans desired. To present the invasion as a morally justifiable, defensive action, the German press played up “Polish atrocities,” referring to real or alleged discrimination and physical violence directed against ethnic Germans living in Poland. The press deplored Polish “warmongering” and “chauvinism,” and also attacked the British for encouraging war by promising to defend Poland in the event of German invasion.</w:t>
      </w:r>
    </w:p>
    <w:p w:rsidR="00D31AF6" w:rsidRPr="00D31AF6" w:rsidRDefault="00D31AF6" w:rsidP="00D31AF6">
      <w:pPr>
        <w:pStyle w:val="NoSpacing"/>
      </w:pPr>
    </w:p>
    <w:p w:rsidR="00D31AF6" w:rsidRPr="00D31AF6" w:rsidRDefault="00D31AF6" w:rsidP="00D31AF6">
      <w:pPr>
        <w:pStyle w:val="NoSpacing"/>
      </w:pPr>
      <w:r w:rsidRPr="00D31AF6">
        <w:t xml:space="preserve">The Nazi regime even staged a border incident designed to make it appear that Poland initiated hostilities. On August 31, 1939, SS men dressed in Polish army uniforms “attacked” a German radio station at </w:t>
      </w:r>
      <w:proofErr w:type="spellStart"/>
      <w:r w:rsidRPr="00D31AF6">
        <w:t>Gleiwitz</w:t>
      </w:r>
      <w:proofErr w:type="spellEnd"/>
      <w:r w:rsidRPr="00D31AF6">
        <w:t xml:space="preserve"> (Gliwice). The next day, Hitler announced to the German nation and the world his decision to send troops into Poland in response to Polish “incursions” into the Reich. The Nazi Party Reich Press Office instructed the press to avoid the use of the word war. They were to report that German troops had simply beaten back Polish attacks, a tactic designed to define Germany as the victim of aggression. The responsibility for declaring war would be left to the British and French.</w:t>
      </w:r>
    </w:p>
    <w:p w:rsidR="00D31AF6" w:rsidRPr="00D31AF6" w:rsidRDefault="00D31AF6" w:rsidP="00D31AF6">
      <w:pPr>
        <w:pStyle w:val="NoSpacing"/>
      </w:pPr>
    </w:p>
    <w:p w:rsidR="00D31AF6" w:rsidRPr="00D31AF6" w:rsidRDefault="00D31AF6" w:rsidP="00D31AF6">
      <w:pPr>
        <w:pStyle w:val="NoSpacing"/>
      </w:pPr>
      <w:r w:rsidRPr="00D31AF6">
        <w:t>In an effort to shape public opinion at home and abroad, the Nazi propaganda machine played up stories of new “Polish atrocities” once the war began. They publicized attacks on ethnic Germans in towns such as Bromberg (Bydgoszcz). There, fleeing Polish civilians and military personnel killed between 5,000 and 6,000 ethnic Germans, whom they had perceived, in the heat of the invasion, to be fifth column traitors, spies, Nazis, or snipers. By exaggerating the actual number of ethnic German victims killed in Bromberg and other towns to 58,000, Nazi propaganda enflamed passions, providing “justification” for the numbers of civilians that the Germans intended to kill.</w:t>
      </w:r>
    </w:p>
    <w:p w:rsidR="00D31AF6" w:rsidRPr="00D31AF6" w:rsidRDefault="00D31AF6" w:rsidP="00D31AF6">
      <w:pPr>
        <w:pStyle w:val="NoSpacing"/>
      </w:pPr>
    </w:p>
    <w:p w:rsidR="00D31AF6" w:rsidRPr="00D31AF6" w:rsidRDefault="00D31AF6" w:rsidP="00D31AF6">
      <w:pPr>
        <w:pStyle w:val="NoSpacing"/>
      </w:pPr>
      <w:r w:rsidRPr="00D31AF6">
        <w:t xml:space="preserve">Nazi propagandists convinced some Germans that the invasion of Poland and subsequent occupation policies were justified. For many others, the propaganda reinforced deep-seated anti-Polish sentiment. German soldiers who served in Poland after the invasion wrote letters home, reflecting support for German military intervention to defend ethnic Germans. Some soldiers expressed their disdain and </w:t>
      </w:r>
      <w:r w:rsidRPr="00D31AF6">
        <w:lastRenderedPageBreak/>
        <w:t xml:space="preserve">contempt for the “criminality” and “sub-humanity” of the Poles, and others viewed the resident Jewish population with disgust, comparing Polish Jews to </w:t>
      </w:r>
      <w:proofErr w:type="spellStart"/>
      <w:r w:rsidRPr="00D31AF6">
        <w:t>antisemitic</w:t>
      </w:r>
      <w:proofErr w:type="spellEnd"/>
      <w:r w:rsidRPr="00D31AF6">
        <w:t xml:space="preserve"> images they recalled from Der </w:t>
      </w:r>
      <w:proofErr w:type="spellStart"/>
      <w:r w:rsidRPr="00D31AF6">
        <w:t>Stürmer</w:t>
      </w:r>
      <w:proofErr w:type="spellEnd"/>
      <w:r w:rsidRPr="00D31AF6">
        <w:t xml:space="preserve"> or the exhibition entitled the “Eternal Jew,” and, later, from the film of the same name.</w:t>
      </w:r>
    </w:p>
    <w:p w:rsidR="00D31AF6" w:rsidRPr="00D31AF6" w:rsidRDefault="00D31AF6" w:rsidP="00D31AF6">
      <w:pPr>
        <w:pStyle w:val="NoSpacing"/>
      </w:pPr>
    </w:p>
    <w:p w:rsidR="00D31AF6" w:rsidRPr="00D31AF6" w:rsidRDefault="00D31AF6" w:rsidP="00D31AF6">
      <w:pPr>
        <w:pStyle w:val="NoSpacing"/>
      </w:pPr>
      <w:r w:rsidRPr="00D31AF6">
        <w:t xml:space="preserve">Newsreels also became central to German Propaganda Minister Goebbels's efforts to form and manipulate public opinion during the war. To exercise greater control over newsreel content after the war began, the Nazi regime consolidated the country's various competing newsreel companies into one, the Deutsche </w:t>
      </w:r>
      <w:proofErr w:type="spellStart"/>
      <w:r w:rsidRPr="00D31AF6">
        <w:t>Wochenschau</w:t>
      </w:r>
      <w:proofErr w:type="spellEnd"/>
      <w:r w:rsidRPr="00D31AF6">
        <w:t xml:space="preserve"> (German Weekly Perspective). Goebbels actively helped create each newsreel installment, even editing or revising scripts. Twelve to eighteen hours of film footage shot by professional photographers and delivered to Berlin each week by courier were edited down to 20 to 40 minutes. Distribution of newsreels was greatly expanded as the number of copies of each episode increased from 400 to 2,000, and dozens of foreign language versions (including Swedish and Hungarian) were produced. Mobile cinema trucks brought the newsreels to rural areas of Germany.</w:t>
      </w:r>
    </w:p>
    <w:p w:rsidR="00D31AF6" w:rsidRPr="00D31AF6" w:rsidRDefault="00D31AF6" w:rsidP="00D31AF6">
      <w:pPr>
        <w:pStyle w:val="NoSpacing"/>
      </w:pPr>
    </w:p>
    <w:p w:rsidR="00D31AF6" w:rsidRPr="00D31AF6" w:rsidRDefault="00D31AF6" w:rsidP="00D31AF6">
      <w:pPr>
        <w:pStyle w:val="NoSpacing"/>
      </w:pPr>
      <w:r w:rsidRPr="00D31AF6">
        <w:t>The Propaganda of Deception</w:t>
      </w:r>
    </w:p>
    <w:p w:rsidR="00D31AF6" w:rsidRPr="00D31AF6" w:rsidRDefault="00D31AF6" w:rsidP="00D31AF6">
      <w:pPr>
        <w:pStyle w:val="NoSpacing"/>
      </w:pPr>
    </w:p>
    <w:p w:rsidR="00D31AF6" w:rsidRPr="00D31AF6" w:rsidRDefault="00D31AF6" w:rsidP="00D31AF6">
      <w:pPr>
        <w:pStyle w:val="NoSpacing"/>
      </w:pPr>
      <w:r w:rsidRPr="00D31AF6">
        <w:t>On September 1, 1939, German forces invaded Poland. The war the Nazi regime unleashed would bring untold human suffering and losses. Following the German invasion of the Soviet Union in summer 1941, Nazi anti-Jewish policies took a radical turn to genocide.</w:t>
      </w:r>
    </w:p>
    <w:p w:rsidR="00D31AF6" w:rsidRPr="00D31AF6" w:rsidRDefault="00D31AF6" w:rsidP="00D31AF6">
      <w:pPr>
        <w:pStyle w:val="NoSpacing"/>
      </w:pPr>
    </w:p>
    <w:p w:rsidR="00D31AF6" w:rsidRPr="00D31AF6" w:rsidRDefault="00D31AF6" w:rsidP="00D31AF6">
      <w:pPr>
        <w:pStyle w:val="NoSpacing"/>
      </w:pPr>
      <w:r w:rsidRPr="00D31AF6">
        <w:t xml:space="preserve">The decision to annihilate the European Jews was announced at the </w:t>
      </w:r>
      <w:proofErr w:type="spellStart"/>
      <w:r w:rsidRPr="00D31AF6">
        <w:t>Wannsee</w:t>
      </w:r>
      <w:proofErr w:type="spellEnd"/>
      <w:r w:rsidRPr="00D31AF6">
        <w:t xml:space="preserve"> Conference on January 20, 1942 to key high-level Nazi Party, SS, and German state officials, whose agencies would contribute to implementing a Europe-wide “Final Solution to the Jewish Question.” Following the conference, Nazi Germany implemented genocide on a continental scale with the deportation of Jews from all over Europe to Auschwitz-Birkenau, Treblinka, and other killing centers in German-occupied Poland</w:t>
      </w:r>
    </w:p>
    <w:p w:rsidR="00D31AF6" w:rsidRPr="00D31AF6" w:rsidRDefault="00D31AF6" w:rsidP="00D31AF6">
      <w:pPr>
        <w:pStyle w:val="NoSpacing"/>
      </w:pPr>
    </w:p>
    <w:p w:rsidR="00D31AF6" w:rsidRPr="00D31AF6" w:rsidRDefault="00D31AF6" w:rsidP="00D31AF6">
      <w:pPr>
        <w:pStyle w:val="NoSpacing"/>
      </w:pPr>
      <w:r w:rsidRPr="00D31AF6">
        <w:t>The Nazi leadership aimed to deceive the German population, the victims, and the outside world regarding their genocidal policy toward Jews. What did ordinary Germans know about the persecution and mass murder of Jews? Despite the public broadcast and publication of general statements about the goal of eliminating “the Jews,” the regime practiced a propaganda of deception by hiding specific details about the “Final Solution,” and press controls prevented Germans from reading statements by Allied and Soviet leaders condemning German crimes.</w:t>
      </w:r>
    </w:p>
    <w:p w:rsidR="00D31AF6" w:rsidRPr="00D31AF6" w:rsidRDefault="00D31AF6" w:rsidP="00D31AF6">
      <w:pPr>
        <w:pStyle w:val="NoSpacing"/>
      </w:pPr>
    </w:p>
    <w:p w:rsidR="00D31AF6" w:rsidRPr="00D31AF6" w:rsidRDefault="00D31AF6" w:rsidP="00D31AF6">
      <w:pPr>
        <w:pStyle w:val="NoSpacing"/>
      </w:pPr>
      <w:r w:rsidRPr="00D31AF6">
        <w:t>At the same time, positive stories were fabricated as part of the planned deception. One booklet printed in 1941 glowingly reported that, in occupied Poland, German authorities had put Jews to work, built clean hospitals, set up soup kitchens for Jews, and provided them with newspapers and vocational training. Posters and articles continually reminded the German population not to forget the atrocity stories that Allied propaganda spread about Germans during the First World War, such as the false charge that Germans had cut off the hands of Belgian children.</w:t>
      </w:r>
    </w:p>
    <w:p w:rsidR="00D31AF6" w:rsidRPr="00D31AF6" w:rsidRDefault="00D31AF6" w:rsidP="00D31AF6">
      <w:pPr>
        <w:pStyle w:val="NoSpacing"/>
      </w:pPr>
    </w:p>
    <w:p w:rsidR="00D31AF6" w:rsidRPr="00D31AF6" w:rsidRDefault="00D31AF6" w:rsidP="00D31AF6">
      <w:pPr>
        <w:pStyle w:val="NoSpacing"/>
      </w:pPr>
      <w:r w:rsidRPr="00D31AF6">
        <w:t xml:space="preserve">The perpetrators also hid their murderous intentions from many of the victims. Before and after the fact, the Germans used deceptive euphemisms to explain and justify deportations of Jews from their homes to ghettos or transit camps, and from the ghettos and camps to the gas chambers at Auschwitz and other killing centers. German officials stamped “evacuated,” a word with neutral connotations, on the passports of Jews deported from the Germany and Austria to the “model” ghetto at </w:t>
      </w:r>
      <w:proofErr w:type="spellStart"/>
      <w:r w:rsidRPr="00D31AF6">
        <w:t>Theresienstadt</w:t>
      </w:r>
      <w:proofErr w:type="spellEnd"/>
      <w:r w:rsidRPr="00D31AF6">
        <w:t xml:space="preserve">, </w:t>
      </w:r>
      <w:r w:rsidRPr="00D31AF6">
        <w:lastRenderedPageBreak/>
        <w:t>near Prague, or to ghettos in the East. German bureaucrats characterized deportations from the ghettos as “resettlements,” though such “resettlement” usually ended in death.</w:t>
      </w:r>
    </w:p>
    <w:p w:rsidR="00D31AF6" w:rsidRPr="00D31AF6" w:rsidRDefault="00D31AF6" w:rsidP="00D31AF6">
      <w:pPr>
        <w:pStyle w:val="NoSpacing"/>
      </w:pPr>
    </w:p>
    <w:p w:rsidR="00D31AF6" w:rsidRPr="00D31AF6" w:rsidRDefault="00D31AF6" w:rsidP="00D31AF6">
      <w:pPr>
        <w:pStyle w:val="NoSpacing"/>
      </w:pPr>
      <w:r w:rsidRPr="00D31AF6">
        <w:t>Nazi Propaganda about the Ghettos</w:t>
      </w:r>
    </w:p>
    <w:p w:rsidR="00D31AF6" w:rsidRPr="00D31AF6" w:rsidRDefault="00D31AF6" w:rsidP="00D31AF6">
      <w:pPr>
        <w:pStyle w:val="NoSpacing"/>
      </w:pPr>
    </w:p>
    <w:p w:rsidR="00D31AF6" w:rsidRPr="00D31AF6" w:rsidRDefault="00D31AF6" w:rsidP="00D31AF6">
      <w:pPr>
        <w:pStyle w:val="NoSpacing"/>
      </w:pPr>
      <w:r w:rsidRPr="00D31AF6">
        <w:t xml:space="preserve">A recurrent theme in Nazi </w:t>
      </w:r>
      <w:proofErr w:type="spellStart"/>
      <w:r w:rsidRPr="00D31AF6">
        <w:t>antisemitic</w:t>
      </w:r>
      <w:proofErr w:type="spellEnd"/>
      <w:r w:rsidRPr="00D31AF6">
        <w:t xml:space="preserve"> propaganda was that Jews spread diseases.</w:t>
      </w:r>
    </w:p>
    <w:p w:rsidR="00D31AF6" w:rsidRPr="00D31AF6" w:rsidRDefault="00D31AF6" w:rsidP="00D31AF6">
      <w:pPr>
        <w:pStyle w:val="NoSpacing"/>
      </w:pPr>
    </w:p>
    <w:p w:rsidR="00D31AF6" w:rsidRPr="00D31AF6" w:rsidRDefault="00D31AF6" w:rsidP="00D31AF6">
      <w:pPr>
        <w:pStyle w:val="NoSpacing"/>
      </w:pPr>
      <w:r w:rsidRPr="00D31AF6">
        <w:t>To prevent non-Jews from attempting to enter the ghettos and from seeing the condition of daily life there for themselves, German authorities posted quarantine signs at the entrances, warning of the danger of contagious disease. Since inadequate sanitation and water supplies coupled with starvation rations quickly undermined the health of the Jews in the ghettos, these warnings became a self-fulfilling prophecy, as typhus and other infectious diseases ravaged ghetto populations. Subsequent Nazi propaganda utilized these man-made epidemics to justify isolating the “filthy” Jews from the larger population.</w:t>
      </w:r>
    </w:p>
    <w:p w:rsidR="00D31AF6" w:rsidRPr="00D31AF6" w:rsidRDefault="00D31AF6" w:rsidP="00D31AF6">
      <w:pPr>
        <w:pStyle w:val="NoSpacing"/>
      </w:pPr>
    </w:p>
    <w:p w:rsidR="00D31AF6" w:rsidRPr="00D31AF6" w:rsidRDefault="00D31AF6" w:rsidP="00D31AF6">
      <w:pPr>
        <w:pStyle w:val="NoSpacing"/>
      </w:pPr>
      <w:proofErr w:type="spellStart"/>
      <w:r w:rsidRPr="00D31AF6">
        <w:t>Theresienstadt</w:t>
      </w:r>
      <w:proofErr w:type="spellEnd"/>
      <w:r w:rsidRPr="00D31AF6">
        <w:t>: A Propaganda Hoax</w:t>
      </w:r>
    </w:p>
    <w:p w:rsidR="00D31AF6" w:rsidRPr="00D31AF6" w:rsidRDefault="00D31AF6" w:rsidP="00D31AF6">
      <w:pPr>
        <w:pStyle w:val="NoSpacing"/>
      </w:pPr>
    </w:p>
    <w:p w:rsidR="00D31AF6" w:rsidRPr="00D31AF6" w:rsidRDefault="00D31AF6" w:rsidP="00D31AF6">
      <w:pPr>
        <w:pStyle w:val="NoSpacing"/>
      </w:pPr>
      <w:r w:rsidRPr="00D31AF6">
        <w:t xml:space="preserve">One of the most notorious Nazi efforts at deception was the establishment in November 1941 of a camp-ghetto for Jews in </w:t>
      </w:r>
      <w:proofErr w:type="spellStart"/>
      <w:r w:rsidRPr="00D31AF6">
        <w:t>Terezín</w:t>
      </w:r>
      <w:proofErr w:type="spellEnd"/>
      <w:r w:rsidRPr="00D31AF6">
        <w:t xml:space="preserve">, in the Czech province of Bohemia. Known by its German name </w:t>
      </w:r>
      <w:proofErr w:type="spellStart"/>
      <w:r w:rsidRPr="00D31AF6">
        <w:t>Theresienstadt</w:t>
      </w:r>
      <w:proofErr w:type="spellEnd"/>
      <w:r w:rsidRPr="00D31AF6">
        <w:t>, this facility functioned both as a ghetto for elderly and prominent Jews from Germany, Austria, and the Czech lands, and as a transit camp for the Czech Jews residing in the German-controlled Protectorate of Bohemia and Moravia.</w:t>
      </w:r>
    </w:p>
    <w:p w:rsidR="00D31AF6" w:rsidRPr="00D31AF6" w:rsidRDefault="00D31AF6" w:rsidP="00D31AF6">
      <w:pPr>
        <w:pStyle w:val="NoSpacing"/>
      </w:pPr>
    </w:p>
    <w:p w:rsidR="00D31AF6" w:rsidRPr="00D31AF6" w:rsidRDefault="00D31AF6" w:rsidP="00D31AF6">
      <w:pPr>
        <w:pStyle w:val="NoSpacing"/>
      </w:pPr>
      <w:r w:rsidRPr="00D31AF6">
        <w:t xml:space="preserve">Anticipating that some Germans might find the official story that Jews were being sent to the East to perform labor to be implausible in reference to elderly Jews, disabled war veterans, and prominent musicians or artists, the Nazi regime cynically publicized the existence of </w:t>
      </w:r>
      <w:proofErr w:type="spellStart"/>
      <w:r w:rsidRPr="00D31AF6">
        <w:t>Theresienstadt</w:t>
      </w:r>
      <w:proofErr w:type="spellEnd"/>
      <w:r w:rsidRPr="00D31AF6">
        <w:t xml:space="preserve"> as a residential community, where elderly or disabled German and Austrian Jews could "retire" and live out their lives in peace and safety. This fiction was invented for domestic consumption within the Greater German Reich. In reality, the ghetto served as a transit camp for deportations to ghettos and killing centers in German-occupied Poland, and killing sites in the German-occupied Baltic States and </w:t>
      </w:r>
      <w:proofErr w:type="spellStart"/>
      <w:r w:rsidRPr="00D31AF6">
        <w:t>Belarussia</w:t>
      </w:r>
      <w:proofErr w:type="spellEnd"/>
      <w:r w:rsidRPr="00D31AF6">
        <w:t>.</w:t>
      </w:r>
    </w:p>
    <w:p w:rsidR="00D31AF6" w:rsidRPr="00D31AF6" w:rsidRDefault="00D31AF6" w:rsidP="00D31AF6">
      <w:pPr>
        <w:pStyle w:val="NoSpacing"/>
      </w:pPr>
    </w:p>
    <w:p w:rsidR="00D31AF6" w:rsidRPr="00D31AF6" w:rsidRDefault="00D31AF6" w:rsidP="00D31AF6">
      <w:pPr>
        <w:pStyle w:val="NoSpacing"/>
      </w:pPr>
      <w:r w:rsidRPr="00D31AF6">
        <w:t xml:space="preserve">In 1944, succumbing to pressure from the International Red Cross and the Danish Red Cross following the deportation of nearly 400 Danish Jews to </w:t>
      </w:r>
      <w:proofErr w:type="spellStart"/>
      <w:r w:rsidRPr="00D31AF6">
        <w:t>Theresienstadt</w:t>
      </w:r>
      <w:proofErr w:type="spellEnd"/>
      <w:r w:rsidRPr="00D31AF6">
        <w:t xml:space="preserve"> in the autumn of 1943, SS officials permitted Red Cross representatives to visit </w:t>
      </w:r>
      <w:proofErr w:type="spellStart"/>
      <w:r w:rsidRPr="00D31AF6">
        <w:t>Theresienstadt</w:t>
      </w:r>
      <w:proofErr w:type="spellEnd"/>
      <w:r w:rsidRPr="00D31AF6">
        <w:t xml:space="preserve">. By this time, news of the mass murder of Jews had reached the world press and Germany was losing the war. As an elaborate hoax, the SS authorities accelerated deportations from the ghetto shortly before the visit, and ordered the remaining prisoners to "beautify" the ghetto: prisoners had to plant gardens, paint houses, and renovate barracks. The SS authorities staged social and cultural events for the visiting dignitaries. After the Red Cross officials left, the SS resumed deportations from </w:t>
      </w:r>
      <w:proofErr w:type="spellStart"/>
      <w:r w:rsidRPr="00D31AF6">
        <w:t>Theresienstadt</w:t>
      </w:r>
      <w:proofErr w:type="spellEnd"/>
      <w:r w:rsidRPr="00D31AF6">
        <w:t xml:space="preserve">, which did not end until October 1944. In all, the Germans deported nearly 90,000 German, Austrian, Czech, Slovak, Dutch, and Hungarian Jews from the camp-ghetto to killing sites and centers in the “East”; only a few thousand survived. More than 30,000 more prisoners died in </w:t>
      </w:r>
      <w:proofErr w:type="spellStart"/>
      <w:r w:rsidRPr="00D31AF6">
        <w:t>Theresienstadt</w:t>
      </w:r>
      <w:proofErr w:type="spellEnd"/>
      <w:r w:rsidRPr="00D31AF6">
        <w:t xml:space="preserve"> itself, mostly from disease or starvation.</w:t>
      </w:r>
    </w:p>
    <w:p w:rsidR="00D31AF6" w:rsidRPr="00D31AF6" w:rsidRDefault="00D31AF6" w:rsidP="00D31AF6">
      <w:pPr>
        <w:pStyle w:val="NoSpacing"/>
      </w:pPr>
    </w:p>
    <w:p w:rsidR="00D31AF6" w:rsidRPr="00D31AF6" w:rsidRDefault="00D31AF6" w:rsidP="00D31AF6">
      <w:pPr>
        <w:pStyle w:val="NoSpacing"/>
      </w:pPr>
      <w:r w:rsidRPr="00D31AF6">
        <w:t xml:space="preserve">The Red Cross Visit to </w:t>
      </w:r>
      <w:proofErr w:type="spellStart"/>
      <w:r w:rsidRPr="00D31AF6">
        <w:t>Theresienstadt</w:t>
      </w:r>
      <w:proofErr w:type="spellEnd"/>
    </w:p>
    <w:p w:rsidR="00D31AF6" w:rsidRPr="00D31AF6" w:rsidRDefault="00D31AF6" w:rsidP="00D31AF6">
      <w:pPr>
        <w:pStyle w:val="NoSpacing"/>
      </w:pPr>
    </w:p>
    <w:p w:rsidR="00D31AF6" w:rsidRPr="00D31AF6" w:rsidRDefault="00D31AF6" w:rsidP="00D31AF6">
      <w:pPr>
        <w:pStyle w:val="NoSpacing"/>
      </w:pPr>
      <w:r w:rsidRPr="00D31AF6">
        <w:lastRenderedPageBreak/>
        <w:t>By 1944 most of the international community knew about the concentration camps and were aware that the Germans and their Axis partners brutally mistreated prisoners in them, but exact details about living conditions in these camps were unclear.</w:t>
      </w:r>
    </w:p>
    <w:p w:rsidR="00D31AF6" w:rsidRPr="00D31AF6" w:rsidRDefault="00D31AF6" w:rsidP="00D31AF6">
      <w:pPr>
        <w:pStyle w:val="NoSpacing"/>
      </w:pPr>
    </w:p>
    <w:p w:rsidR="00D31AF6" w:rsidRPr="00D31AF6" w:rsidRDefault="00D31AF6" w:rsidP="00D31AF6">
      <w:pPr>
        <w:pStyle w:val="NoSpacing"/>
      </w:pPr>
      <w:r w:rsidRPr="00D31AF6">
        <w:t xml:space="preserve">In 1944, Danish Red Cross officials, who, given alarming reports circulating about the fate of the Jews under Nazi rule, were concerned about the nearly 400 Danish Jews deported to </w:t>
      </w:r>
      <w:proofErr w:type="spellStart"/>
      <w:r w:rsidRPr="00D31AF6">
        <w:t>Theresienstadt</w:t>
      </w:r>
      <w:proofErr w:type="spellEnd"/>
      <w:r w:rsidRPr="00D31AF6">
        <w:t xml:space="preserve"> by the Germans in the autumn of 1943, demanded that the International Red Cross, headquartered in Switzerland, investigate living conditions in the camp-ghetto. After considerable stalling, German authorities agreed to permit a Red Cross inspection of the camp-ghetto in June 1944.</w:t>
      </w:r>
    </w:p>
    <w:p w:rsidR="00D31AF6" w:rsidRPr="00D31AF6" w:rsidRDefault="00D31AF6" w:rsidP="00D31AF6">
      <w:pPr>
        <w:pStyle w:val="NoSpacing"/>
      </w:pPr>
    </w:p>
    <w:p w:rsidR="00D31AF6" w:rsidRPr="00D31AF6" w:rsidRDefault="00D31AF6" w:rsidP="00D31AF6">
      <w:pPr>
        <w:pStyle w:val="NoSpacing"/>
      </w:pPr>
      <w:r w:rsidRPr="00D31AF6">
        <w:t>Information gathered during this investigation would be reported to the world. Newspapers in the US and throughout the world covered aspects of the Red Cross investigation.</w:t>
      </w:r>
    </w:p>
    <w:p w:rsidR="00D31AF6" w:rsidRPr="00D31AF6" w:rsidRDefault="00D31AF6" w:rsidP="00D31AF6">
      <w:pPr>
        <w:pStyle w:val="NoSpacing"/>
      </w:pPr>
    </w:p>
    <w:p w:rsidR="00D31AF6" w:rsidRPr="00D31AF6" w:rsidRDefault="00D31AF6" w:rsidP="00D31AF6">
      <w:pPr>
        <w:pStyle w:val="NoSpacing"/>
      </w:pPr>
      <w:r w:rsidRPr="00D31AF6">
        <w:t xml:space="preserve">Propaganda Film: Lens on </w:t>
      </w:r>
      <w:proofErr w:type="spellStart"/>
      <w:r w:rsidRPr="00D31AF6">
        <w:t>Theresienstadt</w:t>
      </w:r>
      <w:proofErr w:type="spellEnd"/>
    </w:p>
    <w:p w:rsidR="00D31AF6" w:rsidRPr="00D31AF6" w:rsidRDefault="00D31AF6" w:rsidP="00D31AF6">
      <w:pPr>
        <w:pStyle w:val="NoSpacing"/>
      </w:pPr>
    </w:p>
    <w:p w:rsidR="00D31AF6" w:rsidRPr="00D31AF6" w:rsidRDefault="00D31AF6" w:rsidP="00D31AF6">
      <w:pPr>
        <w:pStyle w:val="NoSpacing"/>
      </w:pPr>
      <w:r w:rsidRPr="00D31AF6">
        <w:t>As early as December 1943 SS officials in the Office for Jewish Emigration in Prague, an affiliate of the Reich Main Office for Security, decided to make a film about the camp. Much of it taken during the summer after the Red Cross visit, the footage depicts ghetto prisoners going to concerts, playing soccer, working in family gardens, and relaxing in the barracks and outside in the sunshine. The SS forced inmates to serve as writers, actors, set designers, editors, and composers. Many children participated in the film in return for food, including milk and sweets, which they normally did not receive.</w:t>
      </w:r>
    </w:p>
    <w:p w:rsidR="00D31AF6" w:rsidRPr="00D31AF6" w:rsidRDefault="00D31AF6" w:rsidP="00D31AF6">
      <w:pPr>
        <w:pStyle w:val="NoSpacing"/>
      </w:pPr>
    </w:p>
    <w:p w:rsidR="00D31AF6" w:rsidRPr="00D31AF6" w:rsidRDefault="00D31AF6" w:rsidP="00D31AF6">
      <w:pPr>
        <w:pStyle w:val="NoSpacing"/>
      </w:pPr>
      <w:r w:rsidRPr="00D31AF6">
        <w:t>The purpose of the mid-level officials in the RSHA in making the film is not entirely clear. Perhaps it was meant for international consumption for, in 1944, German audiences might have wondered why ghetto residents appeared to live a better, more luxurious life than many Germans in wartime. In the end, the SS only completed the film in March 1945, and never showed it. Indeed, the complete film did not survive the war.</w:t>
      </w:r>
    </w:p>
    <w:p w:rsidR="00D31AF6" w:rsidRPr="00D31AF6" w:rsidRDefault="00D31AF6" w:rsidP="00D31AF6">
      <w:pPr>
        <w:pStyle w:val="NoSpacing"/>
      </w:pPr>
    </w:p>
    <w:p w:rsidR="00D31AF6" w:rsidRPr="00D31AF6" w:rsidRDefault="00D31AF6" w:rsidP="00D31AF6">
      <w:pPr>
        <w:pStyle w:val="NoSpacing"/>
      </w:pPr>
      <w:r w:rsidRPr="00D31AF6">
        <w:t>As with other efforts to deceive the German population and the wider world, the Nazi regime benefited from the unwillingness of the average human being to grasp the dimensions of these crimes. Leaders of Jewish resistance organizations, for example, tried to warn ghetto residents of the German intentions, but even those who heard about the killing centers did not necessary believe what they had heard. “Common sense could not understand that it was possible to exterminate tens and hundreds of thousands of Jews,” Yitzhak Zuckerman, a leader of the Jewish resistance in Warsaw, observed.</w:t>
      </w:r>
    </w:p>
    <w:p w:rsidR="00D31AF6" w:rsidRPr="00D31AF6" w:rsidRDefault="00D31AF6" w:rsidP="00D31AF6">
      <w:pPr>
        <w:pStyle w:val="NoSpacing"/>
      </w:pPr>
    </w:p>
    <w:p w:rsidR="00D31AF6" w:rsidRPr="00D31AF6" w:rsidRDefault="00D31AF6" w:rsidP="00D31AF6">
      <w:pPr>
        <w:pStyle w:val="NoSpacing"/>
      </w:pPr>
      <w:r w:rsidRPr="00D31AF6">
        <w:t>Propaganda to the Bigger End</w:t>
      </w:r>
    </w:p>
    <w:p w:rsidR="00D31AF6" w:rsidRPr="00D31AF6" w:rsidRDefault="00D31AF6" w:rsidP="00D31AF6">
      <w:pPr>
        <w:pStyle w:val="NoSpacing"/>
      </w:pPr>
    </w:p>
    <w:p w:rsidR="00D31AF6" w:rsidRPr="00D31AF6" w:rsidRDefault="00D31AF6" w:rsidP="00D31AF6">
      <w:pPr>
        <w:pStyle w:val="NoSpacing"/>
      </w:pPr>
      <w:r w:rsidRPr="00D31AF6">
        <w:t>The Soviet victory in defense of Moscow on December 6, 1941, and the German declaration of war against the United States five days later, on December 11, ensured a protracted military conflict. After the catastrophic German defeat at Stalingrad in February 1943, the challenge of maintaining popular support for the war became even more daunting for Nazi propagandists. Germans increasingly could not reconcile official news stories with reality, and many turned to foreign radio broadcasts for accurate information. With moviegoers beginning to reject the newsreels as blatant propaganda, Goebbels even ordered theaters to lock their doors before projecting the weekly episode, forcing viewers to watch it if they wanted to see the feature film.</w:t>
      </w:r>
    </w:p>
    <w:p w:rsidR="00D31AF6" w:rsidRPr="00D31AF6" w:rsidRDefault="00D31AF6" w:rsidP="00D31AF6">
      <w:pPr>
        <w:pStyle w:val="NoSpacing"/>
      </w:pPr>
    </w:p>
    <w:p w:rsidR="00D31AF6" w:rsidRPr="00D31AF6" w:rsidRDefault="00D31AF6" w:rsidP="00D31AF6">
      <w:pPr>
        <w:pStyle w:val="NoSpacing"/>
      </w:pPr>
      <w:r w:rsidRPr="00D31AF6">
        <w:lastRenderedPageBreak/>
        <w:t>Until the very end of the war, Nazi propagandists kept public attention focused on what would happen to Germany in event of defeat. The Propaganda Ministry particularly exploited the leak of a postwar plan for Germany's economy developed in 1944 by Henry Morgenthau, Jr., Secretary of the Treasury in the Roosevelt administration. Morgenthau envisioned stripping Germany of its heavy industry and returning the country to an agrarian economy. Such stories, which achieved some success in stiffening resistance as Allied troops moved into Germany, were aimed at intensifying fear of capitulation, encouraging fanaticism, and urging continued destruction of the enemy.</w:t>
      </w:r>
    </w:p>
    <w:p w:rsidR="00D31AF6" w:rsidRDefault="00D31AF6" w:rsidP="00C40742">
      <w:pPr>
        <w:rPr>
          <w:b/>
          <w:sz w:val="32"/>
          <w:szCs w:val="32"/>
        </w:rPr>
      </w:pPr>
    </w:p>
    <w:p w:rsidR="00D31AF6" w:rsidRDefault="00D31AF6" w:rsidP="00D31AF6">
      <w:pPr>
        <w:pStyle w:val="Heading1"/>
      </w:pPr>
      <w:hyperlink r:id="rId10" w:history="1">
        <w:r w:rsidRPr="002E097E">
          <w:rPr>
            <w:rStyle w:val="Hyperlink"/>
          </w:rPr>
          <w:t>https://islamiverse.wordpress.com/history/the-impact-of-the-holocaust-on-jewish-perceptions-of-the-other/</w:t>
        </w:r>
      </w:hyperlink>
    </w:p>
    <w:p w:rsidR="00D31AF6" w:rsidRDefault="00D31AF6" w:rsidP="00D31AF6"/>
    <w:p w:rsidR="00D31AF6" w:rsidRDefault="00D31AF6" w:rsidP="00D31AF6">
      <w:r>
        <w:t>The impact of the Holocaust on Jewish perceptions of the ‘Other’</w:t>
      </w:r>
    </w:p>
    <w:p w:rsidR="00D31AF6" w:rsidRDefault="00D31AF6" w:rsidP="00D31AF6">
      <w:r>
        <w:t xml:space="preserve">-By A. </w:t>
      </w:r>
      <w:proofErr w:type="spellStart"/>
      <w:r>
        <w:t>Ishola</w:t>
      </w:r>
      <w:proofErr w:type="spellEnd"/>
    </w:p>
    <w:p w:rsidR="00D31AF6" w:rsidRDefault="00D31AF6" w:rsidP="00D31AF6">
      <w:r>
        <w:t xml:space="preserve">The belief of being the “chosen ones” is common to all three major monotheisms. The Jewish concept of </w:t>
      </w:r>
      <w:proofErr w:type="spellStart"/>
      <w:r>
        <w:t>chosenness</w:t>
      </w:r>
      <w:proofErr w:type="spellEnd"/>
      <w:r>
        <w:t xml:space="preserve"> however, is unique in that it is based on the physical and collective existence of the Jewish people. This affords Judaism the status of faith and peoplehood both at once.[1] The question of how to preserve this unique identity whilst at the same time contributing to and engaging with the wider non-Jewish society is fundamental to the Jewish people and each generation has found its own way of tackling this challenge according to its special circumstances.</w:t>
      </w:r>
    </w:p>
    <w:p w:rsidR="00D31AF6" w:rsidRDefault="00D31AF6" w:rsidP="00D31AF6">
      <w:r>
        <w:t xml:space="preserve">Post Enlightenment age, European Jewry developed two main camps with regards to relating with the non-Jewish ‘other’. One camp rejected the idea of Jewish </w:t>
      </w:r>
      <w:proofErr w:type="spellStart"/>
      <w:r>
        <w:t>chosenness</w:t>
      </w:r>
      <w:proofErr w:type="spellEnd"/>
      <w:r>
        <w:t xml:space="preserve"> and embraced the Christian, and afterward secular view of the host society, while the other part believed that Jews should in fact be uninvolved in the social, cultural, and political life of the surrounding culture.[2] Most non-Jews however, did not understand this diversity within the Jewish community and instead came up with conspiracy theories about “infiltration” by the Jewish ‘other’ into positions of influence. This was the sentiment under the surface in 1920s Germany at the time of Hitler’s rise to power.</w:t>
      </w:r>
    </w:p>
    <w:p w:rsidR="00D31AF6" w:rsidRDefault="00D31AF6" w:rsidP="00D31AF6">
      <w:r>
        <w:t xml:space="preserve">Although Hitler </w:t>
      </w:r>
      <w:proofErr w:type="spellStart"/>
      <w:r>
        <w:t>utilised</w:t>
      </w:r>
      <w:proofErr w:type="spellEnd"/>
      <w:r>
        <w:t xml:space="preserve"> Christianity and European paganism in his propaganda, he in fact had no actual regard for religion, which he believed would eventually wear away under the rational, scientific era of the Third Reich. He is documented to have said:</w:t>
      </w:r>
    </w:p>
    <w:p w:rsidR="00D31AF6" w:rsidRDefault="00D31AF6" w:rsidP="00D31AF6">
      <w:r>
        <w:t>“The dogma of Christianity gets worn away before the advances of science. […] The man who lives in communion with nature necessarily finds himself in opposition to the Churches, and that’s why they’re heading for ruin- for science is bound to win.”[3]</w:t>
      </w:r>
    </w:p>
    <w:p w:rsidR="00D31AF6" w:rsidRDefault="00D31AF6" w:rsidP="00D31AF6"/>
    <w:p w:rsidR="00D31AF6" w:rsidRDefault="00D31AF6" w:rsidP="00D31AF6">
      <w:r>
        <w:t>And elsewhere:</w:t>
      </w:r>
    </w:p>
    <w:p w:rsidR="00D31AF6" w:rsidRDefault="00D31AF6" w:rsidP="00D31AF6">
      <w:r>
        <w:t>“Put a small telescope in a village and you destroy a world of superstitions.”[4]</w:t>
      </w:r>
    </w:p>
    <w:p w:rsidR="00D31AF6" w:rsidRDefault="00D31AF6" w:rsidP="00D31AF6">
      <w:r>
        <w:lastRenderedPageBreak/>
        <w:t>While Christian dogma might be challenged by “telescopes in the villages”, scientific demonstration would however, go nowhere in resolving Hitler’s “Jewish question” due to the unique peoplehood nature of Judaism which is not dependent on adherence alone but also ethnicity. The only solution to Hitler’s Jewish problem was to eliminate the Jews- the “final solution”.</w:t>
      </w:r>
    </w:p>
    <w:p w:rsidR="00D31AF6" w:rsidRDefault="00D31AF6" w:rsidP="00D31AF6">
      <w:r>
        <w:t xml:space="preserve">After the Holocaust and the declaration of the state of Israel, Emil </w:t>
      </w:r>
      <w:proofErr w:type="spellStart"/>
      <w:r>
        <w:t>Fackenheim</w:t>
      </w:r>
      <w:proofErr w:type="spellEnd"/>
      <w:r>
        <w:t xml:space="preserve"> declared the addition of a widely-implicating “614th law” to the 613 Jewish commandments:</w:t>
      </w:r>
    </w:p>
    <w:p w:rsidR="00D31AF6" w:rsidRDefault="00D31AF6" w:rsidP="00D31AF6">
      <w:r>
        <w:t>“Thou shalt not give Hitler a posthumous victory.” This has since become main tint through which many religious well as secular Jews have perceived interaction with the Gentile ‘other’.</w:t>
      </w:r>
    </w:p>
    <w:p w:rsidR="00D31AF6" w:rsidRDefault="00D31AF6" w:rsidP="00D31AF6">
      <w:r>
        <w:t>The Holocaust and its impact of the on Jewish perception of the ‘Other’</w:t>
      </w:r>
    </w:p>
    <w:p w:rsidR="00D31AF6" w:rsidRDefault="00D31AF6" w:rsidP="00D31AF6">
      <w:r>
        <w:t>The Jew is not simply the West’s other. Nor is he simply what he has finally become today, the other of a certain Islam. The Jew is a subject. And, like all human societies, Jewish society too has relied on the image of the other in constructing and defining itself.[5]</w:t>
      </w:r>
    </w:p>
    <w:p w:rsidR="00D31AF6" w:rsidRDefault="00D31AF6" w:rsidP="00D31AF6">
      <w:r>
        <w:t xml:space="preserve">In </w:t>
      </w:r>
      <w:proofErr w:type="spellStart"/>
      <w:r>
        <w:t>Reinharz</w:t>
      </w:r>
      <w:proofErr w:type="spellEnd"/>
      <w:r>
        <w:t xml:space="preserve"> and Mendes-</w:t>
      </w:r>
      <w:proofErr w:type="spellStart"/>
      <w:r>
        <w:t>Flohr’s</w:t>
      </w:r>
      <w:proofErr w:type="spellEnd"/>
      <w:r>
        <w:t xml:space="preserve"> book, The Jew in the modern world: a documentary history, four categories of post-Holocaust Jewish identity affirmation were identified: national-Zionist affirmation, unique sensibility, </w:t>
      </w:r>
      <w:proofErr w:type="spellStart"/>
      <w:r>
        <w:t>Trotzjudentum</w:t>
      </w:r>
      <w:proofErr w:type="spellEnd"/>
      <w:r>
        <w:t xml:space="preserve"> (“defiant Jewry”) and religious faith.[6]</w:t>
      </w:r>
    </w:p>
    <w:p w:rsidR="00D31AF6" w:rsidRDefault="00D31AF6" w:rsidP="00D31AF6">
      <w:r>
        <w:t xml:space="preserve">By declaring one’s identity, what one is; I contend that one also invariably declares what he is not. In </w:t>
      </w:r>
      <w:proofErr w:type="spellStart"/>
      <w:r>
        <w:t>analysing</w:t>
      </w:r>
      <w:proofErr w:type="spellEnd"/>
      <w:r>
        <w:t xml:space="preserve"> Jewish perspectives of the ‘other’ therefore, I will treat the categories of identity affirmation listed by </w:t>
      </w:r>
      <w:proofErr w:type="spellStart"/>
      <w:r>
        <w:t>Reinharz</w:t>
      </w:r>
      <w:proofErr w:type="spellEnd"/>
      <w:r>
        <w:t xml:space="preserve"> and Mendes-</w:t>
      </w:r>
      <w:proofErr w:type="spellStart"/>
      <w:r>
        <w:t>Flohr</w:t>
      </w:r>
      <w:proofErr w:type="spellEnd"/>
      <w:r>
        <w:t xml:space="preserve"> as perspectives also from which Jews perceive the non-Jewish ‘other’.</w:t>
      </w:r>
    </w:p>
    <w:p w:rsidR="00D31AF6" w:rsidRDefault="00D31AF6" w:rsidP="00D31AF6">
      <w:r>
        <w:t>National-Zionist perspective</w:t>
      </w:r>
    </w:p>
    <w:p w:rsidR="00D31AF6" w:rsidRDefault="00D31AF6" w:rsidP="00D31AF6">
      <w:r>
        <w:t xml:space="preserve">When a geographical definition was applied to the Jewish people post the 1948 declaration of the state of Israel, as with all other nation-states, the ‘other’ naturally became non-nationals of that state. With the memories and scars of the Holocaust still fresh, there was, within the new nation, a real paranoia of invaders from within (Palestinian Arabs) and without (Communists, Arab states). Building up the state’s </w:t>
      </w:r>
      <w:proofErr w:type="spellStart"/>
      <w:r>
        <w:t>defences</w:t>
      </w:r>
      <w:proofErr w:type="spellEnd"/>
      <w:r>
        <w:t xml:space="preserve"> and offences against possible invasion was considered a matter of urgency as it was and still is feared amongst Holocaust survivors that any sign of weakness could possibly lead to another genocide. [7]</w:t>
      </w:r>
    </w:p>
    <w:p w:rsidR="00D31AF6" w:rsidRDefault="00D31AF6" w:rsidP="00D31AF6">
      <w:r>
        <w:t xml:space="preserve">It should be noted however that national Zionist affirmation does not automatically imply a negative perception of non-Jewry. The efforts of many non-Jewish </w:t>
      </w:r>
      <w:proofErr w:type="spellStart"/>
      <w:r>
        <w:t>organisations</w:t>
      </w:r>
      <w:proofErr w:type="spellEnd"/>
      <w:r>
        <w:t xml:space="preserve">, personalities, and countries in the successful establishment of the state are </w:t>
      </w:r>
      <w:proofErr w:type="spellStart"/>
      <w:r>
        <w:t>recognised</w:t>
      </w:r>
      <w:proofErr w:type="spellEnd"/>
      <w:r>
        <w:t xml:space="preserve"> by Israelis.</w:t>
      </w:r>
    </w:p>
    <w:p w:rsidR="00D31AF6" w:rsidRDefault="00D31AF6" w:rsidP="00D31AF6"/>
    <w:p w:rsidR="00D31AF6" w:rsidRDefault="00D31AF6" w:rsidP="00D31AF6"/>
    <w:p w:rsidR="00D31AF6" w:rsidRDefault="00D31AF6" w:rsidP="00D31AF6">
      <w:r>
        <w:t>Unique sensibility perspective</w:t>
      </w:r>
    </w:p>
    <w:p w:rsidR="00D31AF6" w:rsidRDefault="00D31AF6" w:rsidP="00D31AF6"/>
    <w:p w:rsidR="00D31AF6" w:rsidRDefault="00D31AF6" w:rsidP="00D31AF6">
      <w:r>
        <w:lastRenderedPageBreak/>
        <w:t>Due to their history as an exiled and often persecuted people, it has become a survival necessity for Jews to form alliances with non-Jewish groups to address issues of mutual interest or concern, effectively uniting with one ‘other’ against a threat posed by another ‘other’[8] This has especially been the case in Jewish relations with Black peoples in America where with their stake in a society free from historical injustices and divisions, Jews participated very strongly in the Civil rights movement which has been critical in transforming the American political landscape to one more inclusive and encompassing.[9]</w:t>
      </w:r>
    </w:p>
    <w:p w:rsidR="00D31AF6" w:rsidRDefault="00D31AF6" w:rsidP="00D31AF6">
      <w:proofErr w:type="spellStart"/>
      <w:r>
        <w:t>Trotzjudentum</w:t>
      </w:r>
      <w:proofErr w:type="spellEnd"/>
      <w:r>
        <w:t xml:space="preserve"> perspective</w:t>
      </w:r>
    </w:p>
    <w:p w:rsidR="00D31AF6" w:rsidRDefault="00D31AF6" w:rsidP="00D31AF6">
      <w:r>
        <w:t>“The world, I learned, is divided into two. There are Jews and there are goyim. There are few of us and there are many of them. Goyim are different from Jews. They are brutish. We are sensitive, humane. They persecute. We study. We must stick to our own, for community and safety. Goyim are to be shunned. They are to be feared. And because Jewish survival is, and has always been, precarious, we must focus our energies on ourselves, our families, and our people.”[10]</w:t>
      </w:r>
    </w:p>
    <w:p w:rsidR="00D31AF6" w:rsidRDefault="00D31AF6" w:rsidP="00D31AF6">
      <w:proofErr w:type="spellStart"/>
      <w:r>
        <w:t>Trotzjudentum</w:t>
      </w:r>
      <w:proofErr w:type="spellEnd"/>
      <w:r>
        <w:t xml:space="preserve"> or “defiant Jewry” is an affirmation of Jewish identity in defiance of the anti-Semites and as an expression of solidarity with one’s oppressed brethren.[11] The ‘other’ in this case could be any person perceived rightly or otherwise to be anti-Semitic. A direct reaction to </w:t>
      </w:r>
      <w:proofErr w:type="spellStart"/>
      <w:r>
        <w:t>Fackenheim’s</w:t>
      </w:r>
      <w:proofErr w:type="spellEnd"/>
      <w:r>
        <w:t xml:space="preserve"> 614th law, </w:t>
      </w:r>
      <w:proofErr w:type="spellStart"/>
      <w:r>
        <w:t>Trotzjudentum</w:t>
      </w:r>
      <w:proofErr w:type="spellEnd"/>
      <w:r>
        <w:t xml:space="preserve"> has the capacity to rally both religious and non-religious Jews at the risk of “giving Hitler a posthumous victory” and has been incited on numerous occasions by the state of Israel in dealing with issues ranging from the Palestinians to intermarriage.</w:t>
      </w:r>
    </w:p>
    <w:p w:rsidR="00D31AF6" w:rsidRDefault="00D31AF6" w:rsidP="00D31AF6">
      <w:r>
        <w:t>“I dated non-Jewish women when I was younger although I was aware you weren’t supposed to do that. Today I don’t date non-Jewish women anymore. The biggest tragedy one could do would be to intermarry. The thing my parents always threw in my face was, ‘to marry a non-Jew would make the suffering of the victims of the Holocaust in vain.’ I had a responsibility to only be involved with Jewish women.”[12]</w:t>
      </w:r>
    </w:p>
    <w:p w:rsidR="00D31AF6" w:rsidRDefault="00D31AF6" w:rsidP="00D31AF6">
      <w:r>
        <w:t>Jewish religious faith perspective</w:t>
      </w:r>
    </w:p>
    <w:p w:rsidR="00D31AF6" w:rsidRDefault="00D31AF6" w:rsidP="00D31AF6">
      <w:r>
        <w:t xml:space="preserve">Perception of the non-Jewish ‘other’ in this category is mainly shaped by (political) leanings of the religiously influential; although it is also the case that one’s personal understanding of scripture also influences political leanings. Either way, politics is very much intertwined in this category of ‘other’-perception.  The following statements demonstrate two opposing rabbinical positions on relating with the non-Jewish ‘other’. The first by Rabbi Yitzhak </w:t>
      </w:r>
      <w:proofErr w:type="spellStart"/>
      <w:r>
        <w:t>Shapira</w:t>
      </w:r>
      <w:proofErr w:type="spellEnd"/>
      <w:r>
        <w:t xml:space="preserve">, head of the </w:t>
      </w:r>
      <w:proofErr w:type="spellStart"/>
      <w:r>
        <w:t>Dorshei</w:t>
      </w:r>
      <w:proofErr w:type="spellEnd"/>
      <w:r>
        <w:t xml:space="preserve"> </w:t>
      </w:r>
      <w:proofErr w:type="spellStart"/>
      <w:r>
        <w:t>Yihudcha</w:t>
      </w:r>
      <w:proofErr w:type="spellEnd"/>
      <w:r>
        <w:t xml:space="preserve"> yeshiva in the West Bank, and the other by British Orthodox Chief Rabbi Jonathan Sacks.</w:t>
      </w:r>
    </w:p>
    <w:p w:rsidR="00D31AF6" w:rsidRDefault="00D31AF6" w:rsidP="00D31AF6"/>
    <w:p w:rsidR="00D31AF6" w:rsidRDefault="00D31AF6" w:rsidP="00D31AF6"/>
    <w:p w:rsidR="00D31AF6" w:rsidRDefault="00D31AF6" w:rsidP="00D31AF6"/>
    <w:p w:rsidR="00D31AF6" w:rsidRDefault="00D31AF6" w:rsidP="00D31AF6">
      <w:proofErr w:type="spellStart"/>
      <w:r>
        <w:t>Shapira</w:t>
      </w:r>
      <w:proofErr w:type="spellEnd"/>
      <w:r>
        <w:t>:</w:t>
      </w:r>
    </w:p>
    <w:p w:rsidR="00D31AF6" w:rsidRDefault="00D31AF6" w:rsidP="00D31AF6">
      <w:r>
        <w:t>“If we kill a Gentile who has sinned or has violated one of the seven commandments – because we care about the commandments – there is nothing wrong with the murder.”[13]</w:t>
      </w:r>
    </w:p>
    <w:p w:rsidR="00D31AF6" w:rsidRDefault="00D31AF6" w:rsidP="00D31AF6">
      <w:r>
        <w:lastRenderedPageBreak/>
        <w:t>Sacks:</w:t>
      </w:r>
    </w:p>
    <w:p w:rsidR="00D31AF6" w:rsidRDefault="00D31AF6" w:rsidP="00D31AF6">
      <w:r>
        <w:t>“…Time and again it (the Hebrew Bible) returns to this theme: You shall not oppress a stranger, for you know the heart of the stranger. […] The stranger who lives with you shall be treated like the native-born. Love him as yourself, for you were strangers in the land of Egypt. I am the Lord your God”[14]</w:t>
      </w:r>
    </w:p>
    <w:p w:rsidR="00D31AF6" w:rsidRDefault="00D31AF6" w:rsidP="00D31AF6">
      <w:r>
        <w:t xml:space="preserve">This type of dialectic is however, not unique to the post holocaust era but has been in existence- and encouraged- in Judaism since Biblical times. Examples of this are the theological disagreements between Hillel and </w:t>
      </w:r>
      <w:proofErr w:type="spellStart"/>
      <w:r>
        <w:t>Shammai</w:t>
      </w:r>
      <w:proofErr w:type="spellEnd"/>
      <w:r>
        <w:t>,[15] yet both their positions are considered “the words of the living God.”[16]</w:t>
      </w:r>
    </w:p>
    <w:p w:rsidR="00D31AF6" w:rsidRPr="00D31AF6" w:rsidRDefault="00D31AF6" w:rsidP="00D31AF6">
      <w:pPr>
        <w:rPr>
          <w:b/>
        </w:rPr>
      </w:pPr>
      <w:r w:rsidRPr="00D31AF6">
        <w:rPr>
          <w:b/>
        </w:rPr>
        <w:t>Conclusion</w:t>
      </w:r>
    </w:p>
    <w:p w:rsidR="00D31AF6" w:rsidRDefault="00D31AF6" w:rsidP="00D31AF6">
      <w:r>
        <w:t xml:space="preserve">From the above text, it can be said that the direct effect the Holocaust has had on Jewish religious perception of the ‘other’ has been minimal as the categories identified by </w:t>
      </w:r>
      <w:proofErr w:type="spellStart"/>
      <w:r>
        <w:t>Reinharz</w:t>
      </w:r>
      <w:proofErr w:type="spellEnd"/>
      <w:r>
        <w:t xml:space="preserve"> and Mendes-</w:t>
      </w:r>
      <w:proofErr w:type="spellStart"/>
      <w:r>
        <w:t>Flohr</w:t>
      </w:r>
      <w:proofErr w:type="spellEnd"/>
      <w:r>
        <w:t xml:space="preserve"> where in place well before the Holocaust. The Shoah has however, been a major influence on people’s decision to follow a particular religious or political school of thought.</w:t>
      </w:r>
    </w:p>
    <w:p w:rsidR="00D31AF6" w:rsidRDefault="00D31AF6" w:rsidP="00D31AF6">
      <w:r>
        <w:t xml:space="preserve">With most of the world standing by while Europe’s Jews were systematically murdered on an industrial scale, it is no puzzle why there is distrust amongst Jews of the non-Jewish ‘other’, especially amongst survivors and second </w:t>
      </w:r>
      <w:proofErr w:type="spellStart"/>
      <w:r>
        <w:t>generationers</w:t>
      </w:r>
      <w:proofErr w:type="spellEnd"/>
      <w:r>
        <w:t>. Rather unfortunately, Israeli national unity has been forged on the personal identification of each citizen and generation with the Shoah and suspicion of every gentile ‘other’ as a potential Nazi. As a Jew, to criticize Israeli national policy is to be “self-hating” and “giving Hitler a posthumous victory.” As a non-Jew, to do so would be only fulfilling your Nazi potential.</w:t>
      </w:r>
    </w:p>
    <w:p w:rsidR="00D31AF6" w:rsidRDefault="00D31AF6" w:rsidP="00D31AF6">
      <w:r>
        <w:t>There is nonetheless, an increase in a more progressive outlook coming from Jews especially from outside of Israel which while respecting the memory of the Holocaust, also manages to present a more positive perspective in regards to Jewish perception of the ‘other’.</w:t>
      </w:r>
    </w:p>
    <w:p w:rsidR="00D31AF6" w:rsidRDefault="00D31AF6" w:rsidP="00D31AF6">
      <w:r>
        <w:t>“Hating the German people will not bring back to life one victim of the Holocaust. Hating the Palestinians will not bring Israel one step nearer to peace. […] The duty I owe my ancestors who died because of their faith is to build a world in which people no longer die because of their faith. […] We must answer hatred with love, violence with peace, resentment with generosity of spirit and conflict with reconciliation.”[17]</w:t>
      </w:r>
    </w:p>
    <w:p w:rsidR="00D31AF6" w:rsidRDefault="00D31AF6" w:rsidP="00D31AF6">
      <w:r>
        <w:t>-</w:t>
      </w:r>
      <w:proofErr w:type="spellStart"/>
      <w:r>
        <w:t>Jonathen</w:t>
      </w:r>
      <w:proofErr w:type="spellEnd"/>
      <w:r>
        <w:t xml:space="preserve"> Sacks</w:t>
      </w:r>
    </w:p>
    <w:p w:rsidR="00D31AF6" w:rsidRDefault="00D31AF6">
      <w:pPr>
        <w:rPr>
          <w:b/>
          <w:sz w:val="32"/>
          <w:szCs w:val="32"/>
        </w:rPr>
      </w:pPr>
      <w:r>
        <w:rPr>
          <w:b/>
          <w:sz w:val="32"/>
          <w:szCs w:val="32"/>
        </w:rPr>
        <w:br w:type="page"/>
      </w:r>
    </w:p>
    <w:p w:rsidR="00F13C02" w:rsidRDefault="00F13C02" w:rsidP="00F13C02">
      <w:pPr>
        <w:pStyle w:val="Heading1"/>
      </w:pPr>
      <w:r>
        <w:lastRenderedPageBreak/>
        <w:t xml:space="preserve">From </w:t>
      </w:r>
      <w:proofErr w:type="spellStart"/>
      <w:r>
        <w:t>RenewAmerica</w:t>
      </w:r>
      <w:proofErr w:type="spellEnd"/>
    </w:p>
    <w:p w:rsidR="00F13C02" w:rsidRPr="00F13C02" w:rsidRDefault="00F13C02" w:rsidP="00F13C02">
      <w:pPr>
        <w:shd w:val="clear" w:color="auto" w:fill="FFFFFF"/>
        <w:spacing w:after="0" w:line="473" w:lineRule="atLeast"/>
        <w:rPr>
          <w:rFonts w:ascii="Arial" w:eastAsia="Times New Roman" w:hAnsi="Arial" w:cs="Arial"/>
          <w:b/>
          <w:bCs/>
          <w:color w:val="000000"/>
          <w:sz w:val="45"/>
          <w:szCs w:val="45"/>
        </w:rPr>
      </w:pPr>
      <w:r w:rsidRPr="00F13C02">
        <w:rPr>
          <w:rFonts w:ascii="Arial" w:eastAsia="Times New Roman" w:hAnsi="Arial" w:cs="Arial"/>
          <w:b/>
          <w:bCs/>
          <w:color w:val="000000"/>
          <w:sz w:val="45"/>
          <w:szCs w:val="45"/>
        </w:rPr>
        <w:t>Was Christianity responsible for the Holocaust?</w:t>
      </w:r>
    </w:p>
    <w:p w:rsidR="00222397" w:rsidRDefault="00222397" w:rsidP="00F13C02">
      <w:pPr>
        <w:shd w:val="clear" w:color="auto" w:fill="FFFFFF"/>
        <w:spacing w:after="0" w:line="294" w:lineRule="atLeast"/>
        <w:rPr>
          <w:rFonts w:ascii="Arial" w:eastAsia="Times New Roman" w:hAnsi="Arial" w:cs="Arial"/>
          <w:color w:val="000000"/>
          <w:sz w:val="21"/>
          <w:szCs w:val="21"/>
        </w:rPr>
      </w:pPr>
    </w:p>
    <w:p w:rsidR="00F13C02" w:rsidRPr="00F13C02" w:rsidRDefault="00F13C02" w:rsidP="00F13C02">
      <w:pPr>
        <w:shd w:val="clear" w:color="auto" w:fill="FFFFFF"/>
        <w:spacing w:after="0" w:line="294" w:lineRule="atLeast"/>
        <w:rPr>
          <w:rFonts w:ascii="Arial" w:eastAsia="Times New Roman" w:hAnsi="Arial" w:cs="Arial"/>
          <w:color w:val="000000"/>
          <w:sz w:val="21"/>
          <w:szCs w:val="21"/>
        </w:rPr>
      </w:pPr>
      <w:r w:rsidRPr="00F13C02">
        <w:rPr>
          <w:rFonts w:ascii="Arial" w:eastAsia="Times New Roman" w:hAnsi="Arial" w:cs="Arial"/>
          <w:color w:val="000000"/>
          <w:sz w:val="21"/>
          <w:szCs w:val="21"/>
        </w:rPr>
        <w:t>By </w:t>
      </w:r>
      <w:hyperlink r:id="rId11" w:history="1">
        <w:r w:rsidRPr="00F13C02">
          <w:rPr>
            <w:rFonts w:ascii="Arial" w:eastAsia="Times New Roman" w:hAnsi="Arial" w:cs="Arial"/>
            <w:b/>
            <w:bCs/>
            <w:color w:val="003C84"/>
            <w:sz w:val="21"/>
            <w:szCs w:val="21"/>
            <w:u w:val="single"/>
          </w:rPr>
          <w:t>Robert Meyer</w:t>
        </w:r>
      </w:hyperlink>
    </w:p>
    <w:p w:rsidR="00F13C02" w:rsidRPr="00F13C02" w:rsidRDefault="00F13C02" w:rsidP="00F13C02">
      <w:pPr>
        <w:shd w:val="clear" w:color="auto" w:fill="FFFFFF"/>
        <w:spacing w:after="0" w:line="294" w:lineRule="atLeast"/>
        <w:rPr>
          <w:rFonts w:ascii="Arial" w:eastAsia="Times New Roman" w:hAnsi="Arial" w:cs="Arial"/>
          <w:color w:val="000000"/>
          <w:sz w:val="21"/>
          <w:szCs w:val="21"/>
        </w:rPr>
      </w:pPr>
      <w:r w:rsidRPr="00F13C02">
        <w:rPr>
          <w:rFonts w:ascii="Arial" w:eastAsia="Times New Roman" w:hAnsi="Arial" w:cs="Arial"/>
          <w:color w:val="000000"/>
          <w:sz w:val="21"/>
          <w:szCs w:val="21"/>
        </w:rPr>
        <w:t>May 23, 2016</w:t>
      </w:r>
    </w:p>
    <w:p w:rsidR="00222397" w:rsidRDefault="00F13C02" w:rsidP="00F13C02">
      <w:pPr>
        <w:shd w:val="clear" w:color="auto" w:fill="FFFFFF"/>
        <w:spacing w:after="0" w:line="294" w:lineRule="atLeast"/>
        <w:rPr>
          <w:rFonts w:ascii="Arial" w:eastAsia="Times New Roman" w:hAnsi="Arial" w:cs="Arial"/>
          <w:color w:val="000000"/>
          <w:sz w:val="21"/>
          <w:szCs w:val="21"/>
        </w:rPr>
      </w:pPr>
      <w:r w:rsidRPr="00F13C02">
        <w:rPr>
          <w:rFonts w:ascii="Arial" w:eastAsia="Times New Roman" w:hAnsi="Arial" w:cs="Arial"/>
          <w:color w:val="000000"/>
          <w:sz w:val="21"/>
          <w:szCs w:val="21"/>
        </w:rPr>
        <w:t>Recently a poster I encountered asserted the common claim that Christianity was largely responsible for the Holocaust, while pointing out the harm caused by Christianity. I tend to place criticism of this nature in the category of "Christianity is responsible for most of the wars, atrocity and bloodshed in the world." The big problem is complains can be generated succinctly as bumper-sticker slogans, but the refutations of obvious historical canards cannot be articulated so concisely. For that reason it's important to spend a bit of editorial capital giving a thumbnail examination of the issue.</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We might ask somewhat sarcastically whether Jesus Christ or the Apostle Paul somehow gave the impression that Christians had a duty to initiate pogroms against the Jewish people. "Father, forgive them for they know not what they do." comes to mind as an initial point of departure. We might refer to Paul's testimony that he would give his own life to save his kindred Jewish brethren. Of course, the persons making rhetorical accusations are unlikely to be familiar with these passages, and are even more likely to have ignored them in stating their case.</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Sometimes I have to wonder if these skeptics think that some Christians read in their devotionals, that David slew Goliath, and from that passage, get the impression that their duty is to assassinate any contemporary remaining descendants of the Philistines.</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Most likely they are making reference to the fact the great reformer, Martin Luther, once wrote a tract very hostile toward the Jewish people. Hitler used the reverence and legacy of Luther to justify his own atrocities, while maintaining credibility with Germany's large Lutheran population. Hitler was baptized a Roman Catholic, and though heavily influenced by neo-paganism and the anti-Christian philosophies of nihilist Fredric Nietzsche, he understood well how to use religious language to motivate a nominally Christian populous in his orations.</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My frequent response to such charges as those presented in the opening paragraph is to offer a hypothetic situation. I tell them to suppose that I engaged in a series of ritual axe murders, and before each killing I announced "I do this in the name of _____ _____'s atheist philosophies." I then ask them if using their own name to commit the crime indicts them and their belief system, even if the activity does not actually represent what they believe. Hopefully it makes a point.</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 xml:space="preserve">Of course, a common claim among "village skeptics" is that Hitler was a Christian. For the skeptic, when the argument is about America's Founding Fathers, the historical rumor that George Washington didn't take communion after church services he attended is adequate evidence to </w:t>
      </w:r>
      <w:r w:rsidRPr="00F13C02">
        <w:rPr>
          <w:rFonts w:ascii="Arial" w:eastAsia="Times New Roman" w:hAnsi="Arial" w:cs="Arial"/>
          <w:color w:val="000000"/>
          <w:sz w:val="21"/>
          <w:szCs w:val="21"/>
        </w:rPr>
        <w:lastRenderedPageBreak/>
        <w:t>suggest he was not a Christian. Yet when it comes to Hitler, the fact that he mentions God in his speeches and was baptized a Roman Catholic is more than enough evidence to claim he was indeed a Christian. Quite an expedient double standard.</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If you have read earlier pieces I have done on Christianity and atrocities, then you realize I don't just dismiss these claims of Christian atrocity out of hand, but I do require a reasonable amount of intellectual honestly from skeptics. That would include criticism across the board of all movements that resulted in mass killing. Because nominal Christianity is so widespread in the western world, it is convenient to blame Christianity for conflicts obviously caused by socio-political issues, when religion had little association with the motivation for such events, other than that the participants were identified by some form of Christian tradition. Of course, the term "Christian" has a host of varying definitions these days. One unabridged dictionary listed among their numerous definitions of "Christian" defined such as "any civilized person." By that standard even an atheist could be a Christian.</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Many critics never mention the Barmen/Confessing church movement that resisted Hitler's attempts to Nazify the churches in Germany, professing that the principles of Christianity and Nazism are in irreconcilable opposition. The Barmen movement also decried anti-Semitism. Many church leaders were sent to concentration camps or paid with their own lives for their convictions. It seems odd to depict true Christians as anti-Semitic, particularly when we consider that today Christian evangelicals have been among the staunchest supporters of Israel and the Jewish people. During the holocaust many Christians aided the Jewish population.</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 xml:space="preserve">In America we today have a dichotomy demographically similar to Germany. There are large portions of nominal Christians, many of whom are church goers, some of whom identify as "Born Again," but relatively few that profess to believe all of the most fundamental tenants of Christian doctrine. Those conclusions are based on </w:t>
      </w:r>
      <w:proofErr w:type="spellStart"/>
      <w:r w:rsidRPr="00F13C02">
        <w:rPr>
          <w:rFonts w:ascii="Arial" w:eastAsia="Times New Roman" w:hAnsi="Arial" w:cs="Arial"/>
          <w:color w:val="000000"/>
          <w:sz w:val="21"/>
          <w:szCs w:val="21"/>
        </w:rPr>
        <w:t>Barna</w:t>
      </w:r>
      <w:proofErr w:type="spellEnd"/>
      <w:r w:rsidRPr="00F13C02">
        <w:rPr>
          <w:rFonts w:ascii="Arial" w:eastAsia="Times New Roman" w:hAnsi="Arial" w:cs="Arial"/>
          <w:color w:val="000000"/>
          <w:sz w:val="21"/>
          <w:szCs w:val="21"/>
        </w:rPr>
        <w:t xml:space="preserve"> surveys. People in the former category are far more likely to be swept up in non-biblical movements and causes, because they don't easily see a connection between their faith and how it shapes all aspects of life outside of devotional services.</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So if we are going to evaluate this question fairly, we must ask whether Christianity should be evaluated on the basis of bad behaviors of some people professing Christianity, or whether it should be evaluated on what it actually teaches to followers.</w:t>
      </w:r>
      <w:r w:rsidRPr="00F13C02">
        <w:rPr>
          <w:rFonts w:ascii="Arial" w:eastAsia="Times New Roman" w:hAnsi="Arial" w:cs="Arial"/>
          <w:color w:val="000000"/>
          <w:sz w:val="21"/>
          <w:szCs w:val="21"/>
        </w:rPr>
        <w:br/>
      </w:r>
      <w:r w:rsidRPr="00F13C02">
        <w:rPr>
          <w:rFonts w:ascii="Arial" w:eastAsia="Times New Roman" w:hAnsi="Arial" w:cs="Arial"/>
          <w:color w:val="000000"/>
          <w:sz w:val="21"/>
          <w:szCs w:val="21"/>
        </w:rPr>
        <w:br/>
        <w:t xml:space="preserve">We might also evaluate what the Christian and unbelieving narratives respectively, should be expected to produce if taken to their logic conclusions. Christianity says God created man in his own image, whereas unbelieving perspectives claim humanity is the byproduct of a cosmic accident. That has implications for how each should value human life. Of course, atheists don't generally go around wielding axes. This tells me that, though they deny that humanity is God's creation, they unconsciously accept the implications of that claim in the way they lead </w:t>
      </w:r>
      <w:proofErr w:type="spellStart"/>
      <w:r w:rsidRPr="00F13C02">
        <w:rPr>
          <w:rFonts w:ascii="Arial" w:eastAsia="Times New Roman" w:hAnsi="Arial" w:cs="Arial"/>
          <w:color w:val="000000"/>
          <w:sz w:val="21"/>
          <w:szCs w:val="21"/>
        </w:rPr>
        <w:t>there</w:t>
      </w:r>
      <w:proofErr w:type="spellEnd"/>
      <w:r w:rsidRPr="00F13C02">
        <w:rPr>
          <w:rFonts w:ascii="Arial" w:eastAsia="Times New Roman" w:hAnsi="Arial" w:cs="Arial"/>
          <w:color w:val="000000"/>
          <w:sz w:val="21"/>
          <w:szCs w:val="21"/>
        </w:rPr>
        <w:t xml:space="preserve"> lives.</w:t>
      </w:r>
    </w:p>
    <w:p w:rsidR="00F13C02" w:rsidRPr="00F13C02" w:rsidRDefault="00F13C02" w:rsidP="00F13C02">
      <w:pPr>
        <w:shd w:val="clear" w:color="auto" w:fill="FFFFFF"/>
        <w:spacing w:after="0" w:line="294" w:lineRule="atLeast"/>
        <w:rPr>
          <w:rFonts w:ascii="Arial" w:eastAsia="Times New Roman" w:hAnsi="Arial" w:cs="Arial"/>
          <w:color w:val="000000"/>
          <w:sz w:val="21"/>
          <w:szCs w:val="21"/>
        </w:rPr>
      </w:pPr>
      <w:r w:rsidRPr="00F13C02">
        <w:rPr>
          <w:rFonts w:ascii="Arial" w:eastAsia="Times New Roman" w:hAnsi="Arial" w:cs="Arial"/>
          <w:color w:val="000000"/>
          <w:sz w:val="21"/>
          <w:szCs w:val="21"/>
        </w:rPr>
        <w:br/>
        <w:t>© Robert Meyer</w:t>
      </w:r>
      <w:bookmarkStart w:id="0" w:name="_GoBack"/>
      <w:bookmarkEnd w:id="0"/>
    </w:p>
    <w:sectPr w:rsidR="00F13C02" w:rsidRPr="00F13C02">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9DA" w:rsidRDefault="003009DA" w:rsidP="00F52446">
      <w:pPr>
        <w:spacing w:after="0" w:line="240" w:lineRule="auto"/>
      </w:pPr>
      <w:r>
        <w:separator/>
      </w:r>
    </w:p>
  </w:endnote>
  <w:endnote w:type="continuationSeparator" w:id="0">
    <w:p w:rsidR="003009DA" w:rsidRDefault="003009DA"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586667" w:rsidRDefault="00586667">
        <w:pPr>
          <w:pStyle w:val="Footer"/>
          <w:jc w:val="right"/>
        </w:pPr>
        <w:r>
          <w:fldChar w:fldCharType="begin"/>
        </w:r>
        <w:r>
          <w:instrText xml:space="preserve"> PAGE   \* MERGEFORMAT </w:instrText>
        </w:r>
        <w:r>
          <w:fldChar w:fldCharType="separate"/>
        </w:r>
        <w:r w:rsidR="00222397">
          <w:rPr>
            <w:noProof/>
          </w:rPr>
          <w:t>10</w:t>
        </w:r>
        <w:r>
          <w:rPr>
            <w:noProof/>
          </w:rPr>
          <w:fldChar w:fldCharType="end"/>
        </w:r>
      </w:p>
    </w:sdtContent>
  </w:sdt>
  <w:p w:rsidR="00586667" w:rsidRDefault="005866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9DA" w:rsidRDefault="003009DA" w:rsidP="00F52446">
      <w:pPr>
        <w:spacing w:after="0" w:line="240" w:lineRule="auto"/>
      </w:pPr>
      <w:r>
        <w:separator/>
      </w:r>
    </w:p>
  </w:footnote>
  <w:footnote w:type="continuationSeparator" w:id="0">
    <w:p w:rsidR="003009DA" w:rsidRDefault="003009DA"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594" w:rsidRPr="00543153" w:rsidRDefault="003B105E"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00471594" w:rsidRPr="00543153">
      <w:rPr>
        <w:i/>
      </w:rPr>
      <w:t>Pittsburgh, PA 15217</w:t>
    </w:r>
  </w:p>
  <w:p w:rsidR="00471594" w:rsidRPr="00543153" w:rsidRDefault="003B105E" w:rsidP="003B105E">
    <w:pPr>
      <w:pStyle w:val="Header"/>
      <w:tabs>
        <w:tab w:val="left" w:pos="5715"/>
      </w:tabs>
      <w:rPr>
        <w:i/>
      </w:rPr>
    </w:pPr>
    <w:r>
      <w:rPr>
        <w:i/>
      </w:rPr>
      <w:tab/>
    </w:r>
    <w:r>
      <w:rPr>
        <w:i/>
      </w:rPr>
      <w:tab/>
    </w:r>
    <w:r>
      <w:rPr>
        <w:i/>
      </w:rPr>
      <w:tab/>
    </w:r>
    <w:r w:rsidR="00543153" w:rsidRPr="00543153">
      <w:rPr>
        <w:i/>
      </w:rPr>
      <w:t>412-421-2288</w:t>
    </w:r>
  </w:p>
  <w:p w:rsidR="00410439" w:rsidRDefault="00410439" w:rsidP="00471594">
    <w:pPr>
      <w:pStyle w:val="Header"/>
      <w:jc w:val="right"/>
    </w:pPr>
  </w:p>
  <w:p w:rsidR="00384510" w:rsidRDefault="00384510"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10"/>
    <w:rsid w:val="000C5009"/>
    <w:rsid w:val="001147CF"/>
    <w:rsid w:val="001A11AC"/>
    <w:rsid w:val="00222397"/>
    <w:rsid w:val="00225E74"/>
    <w:rsid w:val="00282D7C"/>
    <w:rsid w:val="002A5C5D"/>
    <w:rsid w:val="003009DA"/>
    <w:rsid w:val="0036446A"/>
    <w:rsid w:val="00384510"/>
    <w:rsid w:val="003B105E"/>
    <w:rsid w:val="00410439"/>
    <w:rsid w:val="00471594"/>
    <w:rsid w:val="00515830"/>
    <w:rsid w:val="00543153"/>
    <w:rsid w:val="00580D8E"/>
    <w:rsid w:val="00586667"/>
    <w:rsid w:val="00801DF7"/>
    <w:rsid w:val="00802215"/>
    <w:rsid w:val="008053C3"/>
    <w:rsid w:val="008A5540"/>
    <w:rsid w:val="00982536"/>
    <w:rsid w:val="00A30535"/>
    <w:rsid w:val="00A5407A"/>
    <w:rsid w:val="00C40742"/>
    <w:rsid w:val="00CE7E28"/>
    <w:rsid w:val="00D31AF6"/>
    <w:rsid w:val="00D87FB0"/>
    <w:rsid w:val="00DC2319"/>
    <w:rsid w:val="00E24280"/>
    <w:rsid w:val="00E7044E"/>
    <w:rsid w:val="00F13C02"/>
    <w:rsid w:val="00F52446"/>
    <w:rsid w:val="00FC6AD5"/>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0DD3DF-5E2C-46AB-9119-19158AD7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384510"/>
    <w:pPr>
      <w:keepNext/>
      <w:keepLines/>
      <w:pBdr>
        <w:top w:val="single" w:sz="4" w:space="1" w:color="auto"/>
      </w:pBdr>
      <w:spacing w:before="240" w:after="0"/>
      <w:outlineLvl w:val="0"/>
    </w:pPr>
    <w:rPr>
      <w:rFonts w:asciiTheme="majorHAnsi" w:eastAsiaTheme="majorEastAsia" w:hAnsiTheme="majorHAnsi" w:cstheme="majorBidi"/>
      <w: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384510"/>
    <w:rPr>
      <w:rFonts w:asciiTheme="majorHAnsi" w:eastAsiaTheme="majorEastAsia" w:hAnsiTheme="majorHAnsi" w:cstheme="majorBidi"/>
      <w: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293767">
      <w:bodyDiv w:val="1"/>
      <w:marLeft w:val="0"/>
      <w:marRight w:val="0"/>
      <w:marTop w:val="0"/>
      <w:marBottom w:val="0"/>
      <w:divBdr>
        <w:top w:val="none" w:sz="0" w:space="0" w:color="auto"/>
        <w:left w:val="none" w:sz="0" w:space="0" w:color="auto"/>
        <w:bottom w:val="none" w:sz="0" w:space="0" w:color="auto"/>
        <w:right w:val="none" w:sz="0" w:space="0" w:color="auto"/>
      </w:divBdr>
      <w:divsChild>
        <w:div w:id="1404449239">
          <w:marLeft w:val="0"/>
          <w:marRight w:val="0"/>
          <w:marTop w:val="240"/>
          <w:marBottom w:val="0"/>
          <w:divBdr>
            <w:top w:val="none" w:sz="0" w:space="0" w:color="auto"/>
            <w:left w:val="none" w:sz="0" w:space="0" w:color="auto"/>
            <w:bottom w:val="none" w:sz="0" w:space="0" w:color="auto"/>
            <w:right w:val="none" w:sz="0" w:space="0" w:color="auto"/>
          </w:divBdr>
          <w:divsChild>
            <w:div w:id="892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684087644">
      <w:bodyDiv w:val="1"/>
      <w:marLeft w:val="0"/>
      <w:marRight w:val="0"/>
      <w:marTop w:val="0"/>
      <w:marBottom w:val="0"/>
      <w:divBdr>
        <w:top w:val="none" w:sz="0" w:space="0" w:color="auto"/>
        <w:left w:val="none" w:sz="0" w:space="0" w:color="auto"/>
        <w:bottom w:val="none" w:sz="0" w:space="0" w:color="auto"/>
        <w:right w:val="none" w:sz="0" w:space="0" w:color="auto"/>
      </w:divBdr>
      <w:divsChild>
        <w:div w:id="1092699111">
          <w:marLeft w:val="0"/>
          <w:marRight w:val="0"/>
          <w:marTop w:val="255"/>
          <w:marBottom w:val="0"/>
          <w:divBdr>
            <w:top w:val="none" w:sz="0" w:space="0" w:color="auto"/>
            <w:left w:val="none" w:sz="0" w:space="0" w:color="auto"/>
            <w:bottom w:val="none" w:sz="0" w:space="0" w:color="auto"/>
            <w:right w:val="none" w:sz="0" w:space="0" w:color="auto"/>
          </w:divBdr>
        </w:div>
        <w:div w:id="1774091739">
          <w:marLeft w:val="0"/>
          <w:marRight w:val="0"/>
          <w:marTop w:val="0"/>
          <w:marBottom w:val="0"/>
          <w:divBdr>
            <w:top w:val="none" w:sz="0" w:space="0" w:color="auto"/>
            <w:left w:val="none" w:sz="0" w:space="0" w:color="auto"/>
            <w:bottom w:val="none" w:sz="0" w:space="0" w:color="auto"/>
            <w:right w:val="none" w:sz="0" w:space="0" w:color="auto"/>
          </w:divBdr>
          <w:divsChild>
            <w:div w:id="34432620">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ewamerica.com/columns/mey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slamiverse.wordpress.com/history/the-impact-of-the-holocaust-on-jewish-perceptions-of-the-other/" TargetMode="External"/><Relationship Id="rId4" Type="http://schemas.openxmlformats.org/officeDocument/2006/relationships/webSettings" Target="webSettings.xml"/><Relationship Id="rId9" Type="http://schemas.openxmlformats.org/officeDocument/2006/relationships/hyperlink" Target="https://www.ushmm.org/wlc/en/article.php?ModuleId=1000782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18</TotalTime>
  <Pages>11</Pages>
  <Words>4872</Words>
  <Characters>27774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4</cp:revision>
  <dcterms:created xsi:type="dcterms:W3CDTF">2018-01-03T15:06:00Z</dcterms:created>
  <dcterms:modified xsi:type="dcterms:W3CDTF">2018-01-03T15:23:00Z</dcterms:modified>
</cp:coreProperties>
</file>