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446" w:rsidRDefault="003B105E" w:rsidP="00F52446">
      <w:pPr>
        <w:spacing w:after="0" w:line="377" w:lineRule="atLeast"/>
        <w:rPr>
          <w:rFonts w:ascii="Helvetica" w:eastAsia="Times New Roman" w:hAnsi="Helvetica" w:cs="Helvetica"/>
          <w:color w:val="383838"/>
          <w:sz w:val="21"/>
          <w:szCs w:val="21"/>
        </w:rPr>
      </w:pPr>
      <w:r>
        <w:rPr>
          <w:rFonts w:ascii="Helvetica" w:eastAsia="Times New Roman" w:hAnsi="Helvetica" w:cs="Helvetica"/>
          <w:noProof/>
          <w:color w:val="383838"/>
          <w:sz w:val="21"/>
          <w:szCs w:val="21"/>
        </w:rPr>
        <w:drawing>
          <wp:anchor distT="0" distB="0" distL="114300" distR="114300" simplePos="0" relativeHeight="251660288" behindDoc="1" locked="0" layoutInCell="1" allowOverlap="1">
            <wp:simplePos x="0" y="0"/>
            <wp:positionH relativeFrom="column">
              <wp:posOffset>4419600</wp:posOffset>
            </wp:positionH>
            <wp:positionV relativeFrom="paragraph">
              <wp:posOffset>240665</wp:posOffset>
            </wp:positionV>
            <wp:extent cx="1550035" cy="12566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w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0035" cy="1256665"/>
                    </a:xfrm>
                    <a:prstGeom prst="rect">
                      <a:avLst/>
                    </a:prstGeom>
                  </pic:spPr>
                </pic:pic>
              </a:graphicData>
            </a:graphic>
          </wp:anchor>
        </w:drawing>
      </w:r>
      <w:r w:rsidR="00471594">
        <w:rPr>
          <w:rFonts w:ascii="Helvetica" w:eastAsia="Times New Roman" w:hAnsi="Helvetica" w:cs="Helvetica"/>
          <w:noProof/>
          <w:color w:val="383838"/>
          <w:sz w:val="21"/>
          <w:szCs w:val="21"/>
        </w:rPr>
        <mc:AlternateContent>
          <mc:Choice Requires="wps">
            <w:drawing>
              <wp:anchor distT="0" distB="0" distL="114300" distR="114300" simplePos="0" relativeHeight="251659264" behindDoc="0" locked="0" layoutInCell="1" allowOverlap="1">
                <wp:simplePos x="0" y="0"/>
                <wp:positionH relativeFrom="column">
                  <wp:posOffset>-1</wp:posOffset>
                </wp:positionH>
                <wp:positionV relativeFrom="paragraph">
                  <wp:posOffset>142875</wp:posOffset>
                </wp:positionV>
                <wp:extent cx="694372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69437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9F3883"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1.25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" strokecolor="#5b9bd5 [3204]" strokeweight=".5pt">
                <v:stroke joinstyle="miter"/>
              </v:line>
            </w:pict>
          </mc:Fallback>
        </mc:AlternateContent>
      </w:r>
    </w:p>
    <w:p w:rsidR="003B105E" w:rsidRPr="003B105E" w:rsidRDefault="003B105E" w:rsidP="003B105E">
      <w:pPr>
        <w:rPr>
          <w:b/>
          <w:sz w:val="32"/>
          <w:szCs w:val="32"/>
        </w:rPr>
      </w:pPr>
      <w:r w:rsidRPr="003B105E">
        <w:rPr>
          <w:b/>
          <w:sz w:val="32"/>
          <w:szCs w:val="32"/>
        </w:rPr>
        <w:t>Coffee with the Cantor</w:t>
      </w:r>
    </w:p>
    <w:p w:rsidR="003B105E" w:rsidRDefault="00176888" w:rsidP="003B105E">
      <w:pPr>
        <w:pStyle w:val="NoSpacing"/>
      </w:pPr>
      <w:r>
        <w:t>2018</w:t>
      </w:r>
    </w:p>
    <w:p w:rsidR="003B105E" w:rsidRDefault="003B105E" w:rsidP="003B105E">
      <w:pPr>
        <w:pStyle w:val="NoSpacing"/>
      </w:pPr>
      <w:r>
        <w:t>Hazzan Rob Menes</w:t>
      </w:r>
    </w:p>
    <w:p w:rsidR="003B105E" w:rsidRDefault="003B105E" w:rsidP="003B105E">
      <w:pPr>
        <w:pStyle w:val="NoSpacing"/>
      </w:pPr>
      <w:r>
        <w:t xml:space="preserve">Wednesdays, 11:00-12:30 </w:t>
      </w:r>
    </w:p>
    <w:p w:rsidR="003B105E" w:rsidRDefault="00FB1466" w:rsidP="003B105E">
      <w:pPr>
        <w:pStyle w:val="NoSpacing"/>
      </w:pPr>
      <w:hyperlink r:id="rId8" w:history="1">
        <w:r w:rsidR="003B105E" w:rsidRPr="0066295E">
          <w:rPr>
            <w:rStyle w:val="Hyperlink"/>
          </w:rPr>
          <w:t>http://www.hazzanmenes.com</w:t>
        </w:r>
      </w:hyperlink>
    </w:p>
    <w:p w:rsidR="003B105E" w:rsidRDefault="003B105E" w:rsidP="003B105E">
      <w:pPr>
        <w:rPr>
          <w:b/>
          <w:sz w:val="28"/>
          <w:szCs w:val="28"/>
        </w:rPr>
      </w:pPr>
    </w:p>
    <w:p w:rsidR="00384510" w:rsidRDefault="00384510" w:rsidP="003B105E">
      <w:pPr>
        <w:rPr>
          <w:b/>
          <w:sz w:val="28"/>
          <w:szCs w:val="28"/>
        </w:rPr>
      </w:pPr>
      <w:r>
        <w:rPr>
          <w:b/>
          <w:sz w:val="28"/>
          <w:szCs w:val="28"/>
        </w:rPr>
        <w:t>Perceptions of Modern Judaism</w:t>
      </w:r>
    </w:p>
    <w:p w:rsidR="00176888" w:rsidRDefault="004257BA" w:rsidP="003B105E">
      <w:pPr>
        <w:rPr>
          <w:b/>
          <w:sz w:val="28"/>
          <w:szCs w:val="28"/>
        </w:rPr>
      </w:pPr>
      <w:r>
        <w:rPr>
          <w:b/>
          <w:sz w:val="28"/>
          <w:szCs w:val="28"/>
        </w:rPr>
        <w:t xml:space="preserve">Perceptions of Jews in </w:t>
      </w:r>
      <w:r w:rsidR="008A3695">
        <w:rPr>
          <w:b/>
          <w:sz w:val="28"/>
          <w:szCs w:val="28"/>
        </w:rPr>
        <w:t>the Arts</w:t>
      </w:r>
    </w:p>
    <w:p w:rsidR="00DF5CEC" w:rsidRDefault="00DF5CEC" w:rsidP="003B105E">
      <w:pPr>
        <w:rPr>
          <w:b/>
          <w:sz w:val="28"/>
          <w:szCs w:val="28"/>
        </w:rPr>
      </w:pPr>
    </w:p>
    <w:p w:rsidR="00DF5CEC" w:rsidRDefault="00DF5CEC" w:rsidP="00DF5CEC">
      <w:pPr>
        <w:pStyle w:val="Heading1"/>
      </w:pPr>
      <w:r w:rsidRPr="00DF5CEC">
        <w:t>http://what-when-how.com/love-in-world-religions/art-in-judaism-christianity-and-islam/</w:t>
      </w:r>
    </w:p>
    <w:p w:rsidR="00DF5CEC" w:rsidRPr="00DF5CEC" w:rsidRDefault="00DF5CEC" w:rsidP="00DF5CEC">
      <w:pPr>
        <w:shd w:val="clear" w:color="auto" w:fill="FFFFFF"/>
        <w:spacing w:after="0" w:line="343" w:lineRule="atLeast"/>
        <w:rPr>
          <w:rFonts w:ascii="Arial" w:eastAsia="Times New Roman" w:hAnsi="Arial" w:cs="Arial"/>
          <w:color w:val="FF0000"/>
          <w:sz w:val="21"/>
          <w:szCs w:val="21"/>
        </w:rPr>
      </w:pPr>
      <w:r w:rsidRPr="00DF5CEC">
        <w:rPr>
          <w:rFonts w:ascii="Arial" w:eastAsia="Times New Roman" w:hAnsi="Arial" w:cs="Arial"/>
          <w:color w:val="FF0000"/>
          <w:sz w:val="21"/>
          <w:szCs w:val="21"/>
        </w:rPr>
        <w:t>In Depth Tutorials and Information</w:t>
      </w:r>
    </w:p>
    <w:p w:rsidR="00DF5CEC" w:rsidRPr="00DF5CEC" w:rsidRDefault="00DF5CEC" w:rsidP="00DF5CEC">
      <w:pPr>
        <w:pStyle w:val="Title"/>
        <w:rPr>
          <w:rFonts w:eastAsia="Times New Roman"/>
        </w:rPr>
      </w:pPr>
      <w:r w:rsidRPr="00DF5CEC">
        <w:rPr>
          <w:rFonts w:eastAsia="Times New Roman"/>
        </w:rPr>
        <w:t>Art in Judaism, Christianity, and Islam</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To the extent that</w:t>
      </w:r>
      <w:r w:rsidRPr="00DF5CEC">
        <w:rPr>
          <w:rFonts w:ascii="Arial" w:eastAsia="Times New Roman" w:hAnsi="Arial" w:cs="Arial"/>
          <w:color w:val="111111"/>
          <w:sz w:val="24"/>
          <w:szCs w:val="24"/>
        </w:rPr>
        <w:t> love is at the core of religion, it also inspires many forms of art. From temple altars where sacrifices were offered to please and appease the gods, to churches where the ultimate sacrifice of God himself is represented by the Crucifixion, images have been made to serve as messengers of devotion.</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But there is about images,</w:t>
      </w:r>
      <w:r w:rsidRPr="00DF5CEC">
        <w:rPr>
          <w:rFonts w:ascii="Arial" w:eastAsia="Times New Roman" w:hAnsi="Arial" w:cs="Arial"/>
          <w:color w:val="111111"/>
          <w:sz w:val="24"/>
          <w:szCs w:val="24"/>
        </w:rPr>
        <w:t> and especially religious images, a wish for them to materialize, to be, rather than merely represent what they portray: the beloved mother, child, martyr, father, gods and goddesses, prophets and saints. Consciously or not, willingly or not, devotion craves a tangible and corporeal subject. The problem is that a religious image is never more in jeopardy than when it succeeds in satisfying human appetites, since it then risks being associated with the worship, or love, of images—idolatry.</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Idolatry may refer to worship of an image of a false god or gods</w:t>
      </w:r>
      <w:r w:rsidRPr="00DF5CEC">
        <w:rPr>
          <w:rFonts w:ascii="Arial" w:eastAsia="Times New Roman" w:hAnsi="Arial" w:cs="Arial"/>
          <w:color w:val="111111"/>
          <w:sz w:val="24"/>
          <w:szCs w:val="24"/>
        </w:rPr>
        <w:t>—”false” being a euphuism for the wrong god or gods. Idolatry may refer to worshiping the image itself, as if the work of a human artist could be sacred. And when the work of art satisfies the worshiper’s deepest desire and appears miraculously, to come alive, weep, bleed, speak—the dangers of idolatry are manifest.</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lastRenderedPageBreak/>
        <w:t>In the religions of Judaism,</w:t>
      </w:r>
      <w:r w:rsidRPr="00DF5CEC">
        <w:rPr>
          <w:rFonts w:ascii="Arial" w:eastAsia="Times New Roman" w:hAnsi="Arial" w:cs="Arial"/>
          <w:color w:val="111111"/>
          <w:sz w:val="24"/>
          <w:szCs w:val="24"/>
        </w:rPr>
        <w:t> Christianity, and Islam, idolatry is a sin, and the provocation for iconoclasm, literally “image breaking,” an act of violence, destruction, and hatred.</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The demolition of works of art has an extensive history</w:t>
      </w:r>
      <w:r w:rsidRPr="00DF5CEC">
        <w:rPr>
          <w:rFonts w:ascii="Arial" w:eastAsia="Times New Roman" w:hAnsi="Arial" w:cs="Arial"/>
          <w:color w:val="111111"/>
          <w:sz w:val="24"/>
          <w:szCs w:val="24"/>
        </w:rPr>
        <w:t>, one in which old chapters are continually revised and new chapters are added. Consider a 50-foot-high, 3,200-year-old statue of Ramses II, once thought to have been toppled by an earthquake. Today the statue is described as the victim of assault by Christian monks of the fifth century, who used hammers as part of their attack. In 2001, the Taliban used explosives to destroy two statues of Buddha in the Bamiyan Valley of Afghanistan, 140 miles northwest of Kabul. Known as the Bamiyan Buddhas, one of the two was 174 feet high, the tallest standing Buddha in the world; half a mile away was the second statue, 125 feet high. Their presence was first reported by a Chinese traveler, the monk Hiuan Tsang, who saw them in the year 632 CE. Tsang wrote that the tallest Buddha was “glittering with gold and precious ornaments.” What remained at the beginning of the second millennium was a damaged but awesome, towering statue, still amazing despite the destructive efforts of everyone from Genghis Khan and Tamerlane to a seventeenth-century Mogul artilleryman. Today there is just a great empty hole, like a high-rise shadow-box, in the face of the cliff.</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The story of Moses and idolatry is among the</w:t>
      </w:r>
      <w:r w:rsidRPr="00DF5CEC">
        <w:rPr>
          <w:rFonts w:ascii="Arial" w:eastAsia="Times New Roman" w:hAnsi="Arial" w:cs="Arial"/>
          <w:color w:val="111111"/>
          <w:sz w:val="24"/>
          <w:szCs w:val="24"/>
        </w:rPr>
        <w:t> most graphic and memorable descriptions of iconoclasm. While awaiting Moses’ descent from the summit of Mount Sinai, the Israelites, who had become fearful in his absence, turned to worshiping a golden calf. Although forewarned by God, Moses was so enraged by what he saw on his return that he shattered the tablets of the Decalogue—the covenant of his people with the Lord—and ground the graven image of the calf to dust. He forced the Israelites to swallow that dust, and even then had 3,000 of their number slain. Returning to the summit of the mountain, Moses brought back a new copy of the Decalogue, which, besides prohibiting the making and worshiping of idols, demanded that the Israelites love only one god and none other.</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The example of</w:t>
      </w:r>
      <w:r w:rsidRPr="00DF5CEC">
        <w:rPr>
          <w:rFonts w:ascii="Arial" w:eastAsia="Times New Roman" w:hAnsi="Arial" w:cs="Arial"/>
          <w:color w:val="111111"/>
          <w:sz w:val="24"/>
          <w:szCs w:val="24"/>
        </w:rPr>
        <w:t xml:space="preserve"> Israelites worshiping a golden calf has stood for the sin of idolatry for over 2,000 years. It has also, perhaps ironically, been the subject of art. In his circa 1635 painting, in which he transformed the “calf” into a full-fledged bull, Nicolas Poussin chose to present the scene from the perspective of an audience, as if it were a stage play. Israelites dance in orgiastic frenzy in the foreground while Moses approaches, barely visible, in the left background. Aaron, dressed in white, gestures toward the bull </w:t>
      </w:r>
      <w:r w:rsidRPr="00DF5CEC">
        <w:rPr>
          <w:rFonts w:ascii="Arial" w:eastAsia="Times New Roman" w:hAnsi="Arial" w:cs="Arial"/>
          <w:color w:val="111111"/>
          <w:sz w:val="24"/>
          <w:szCs w:val="24"/>
        </w:rPr>
        <w:lastRenderedPageBreak/>
        <w:t>with one hand and toward himself with the other. He seems to imply the connection of dissolution and self-indulgence with the worship of false gods.</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noProof/>
          <w:color w:val="FF0000"/>
          <w:sz w:val="24"/>
          <w:szCs w:val="24"/>
        </w:rPr>
        <w:drawing>
          <wp:inline distT="0" distB="0" distL="0" distR="0" wp14:anchorId="6DFD93D6" wp14:editId="7143DA9B">
            <wp:extent cx="6096000" cy="4362450"/>
            <wp:effectExtent l="0" t="0" r="0" b="0"/>
            <wp:docPr id="5" name="Picture 5" descr="The Adoration of the Golden Calf by Nicolas Poussin. ">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Adoration of the Golden Calf by Nicolas Poussin. ">
                      <a:hlinkClick r:id="rId9"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0" cy="4362450"/>
                    </a:xfrm>
                    <a:prstGeom prst="rect">
                      <a:avLst/>
                    </a:prstGeom>
                    <a:noFill/>
                    <a:ln>
                      <a:noFill/>
                    </a:ln>
                  </pic:spPr>
                </pic:pic>
              </a:graphicData>
            </a:graphic>
          </wp:inline>
        </w:drawing>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The Adoration of the Golden Calf by Nicolas Poussin.</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The distinction of works of art as</w:t>
      </w:r>
      <w:r w:rsidRPr="00DF5CEC">
        <w:rPr>
          <w:rFonts w:ascii="Arial" w:eastAsia="Times New Roman" w:hAnsi="Arial" w:cs="Arial"/>
          <w:color w:val="111111"/>
          <w:sz w:val="24"/>
          <w:szCs w:val="24"/>
        </w:rPr>
        <w:t> objects of worship and for worship is sometimes clearer than others. The Torah (“teaching”), the foundation of Judaic thought, is written on a parchment scroll according to specific instructions, and is considered so sacred that the scroll itself may not be touched by a human hand when it is ceremonially read—instead a silver pointer is moved through the pages. Rolled up, the Torah is clothed in beautiful, decorated fabric, and kept in a protective enclosure—the Ark— where it may be symbolically protected by carved lions. These and other ornaments of the Torah, such as its shield and crown, as well as all objects fashioned for worship, are made as beautifully as possible to honor the sanctity of performing a mitzvah, a religious duty, or commandment of God.</w:t>
      </w:r>
    </w:p>
    <w:p w:rsidR="00DF5CEC" w:rsidRPr="00DF5CEC" w:rsidRDefault="00DF5CEC" w:rsidP="00DF5CEC">
      <w:pPr>
        <w:shd w:val="clear" w:color="auto" w:fill="FFFFFF"/>
        <w:spacing w:after="360" w:line="360" w:lineRule="atLeast"/>
        <w:rPr>
          <w:rFonts w:ascii="Arial" w:eastAsia="Times New Roman" w:hAnsi="Arial" w:cs="Arial"/>
          <w:color w:val="111111"/>
          <w:sz w:val="24"/>
          <w:szCs w:val="24"/>
        </w:rPr>
      </w:pPr>
      <w:r w:rsidRPr="00DF5CEC">
        <w:rPr>
          <w:rFonts w:ascii="Arial" w:eastAsia="Times New Roman" w:hAnsi="Arial" w:cs="Arial"/>
          <w:color w:val="111111"/>
          <w:sz w:val="24"/>
          <w:szCs w:val="24"/>
        </w:rPr>
        <w:t xml:space="preserve">The menorah is similarly used for performing a religious obligation. According to Judaic tradition, God gave Moses a detailed pattern for the menorah in Exodus 25:31, saying, </w:t>
      </w:r>
      <w:r w:rsidRPr="00DF5CEC">
        <w:rPr>
          <w:rFonts w:ascii="Arial" w:eastAsia="Times New Roman" w:hAnsi="Arial" w:cs="Arial"/>
          <w:color w:val="111111"/>
          <w:sz w:val="24"/>
          <w:szCs w:val="24"/>
        </w:rPr>
        <w:lastRenderedPageBreak/>
        <w:t>“And thou shalt make a candlestick of pure gold.” A bas-relief sculpture on the Arch of Titus in Rome shows the Emperor Titus carrying off the menorah from the Temple in Jerusalem after the Roman conquest of Judea in 70 CE. Instances of looting objects of religious art, especially those as sacred and significant as the Temple menorah, compete with icono-clasm as a way of humiliating an enemy.</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In 610 CE,</w:t>
      </w:r>
      <w:r w:rsidRPr="00DF5CEC">
        <w:rPr>
          <w:rFonts w:ascii="Arial" w:eastAsia="Times New Roman" w:hAnsi="Arial" w:cs="Arial"/>
          <w:color w:val="111111"/>
          <w:sz w:val="24"/>
          <w:szCs w:val="24"/>
        </w:rPr>
        <w:t> Muhammad of Mecca began having visions in which the angel Gabriel appeared and dictated the text of the Qur’an to him. Under the influence of his revelations Muhammad believed that his mission was to reform tribal pagan religion and idolatry in the Arab world. In Mecca, Allah was the foremost of four deities worshiped at the Kaaba; Allah’s daughters were the others.</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Muhammad’s battle on behalf of Allah’s singularity—</w:t>
      </w:r>
      <w:r w:rsidRPr="00DF5CEC">
        <w:rPr>
          <w:rFonts w:ascii="Arial" w:eastAsia="Times New Roman" w:hAnsi="Arial" w:cs="Arial"/>
          <w:color w:val="111111"/>
          <w:sz w:val="24"/>
          <w:szCs w:val="24"/>
        </w:rPr>
        <w:t>especially his opposition to idolatry—created friction with Mecca’s merchant aristocracy, who profited from the tourists and pilgrims attracted to Mecca because of the Kaaba’s enticements. Consequently, Muhammad left Mecca for Medina in 622 CE.</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By 630,</w:t>
      </w:r>
      <w:r w:rsidRPr="00DF5CEC">
        <w:rPr>
          <w:rFonts w:ascii="Arial" w:eastAsia="Times New Roman" w:hAnsi="Arial" w:cs="Arial"/>
          <w:color w:val="111111"/>
          <w:sz w:val="24"/>
          <w:szCs w:val="24"/>
        </w:rPr>
        <w:t> having become an accomplished general as well as a powerful religious leader, Muhammad assembled an army of 10,000 men and marched back to Mecca. He destroyed the idols in and around the Kaaba, though he left its legendary Black Stone as a historic and sacred marker of the new faith.</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After Muhammad’s death,</w:t>
      </w:r>
      <w:r w:rsidRPr="00DF5CEC">
        <w:rPr>
          <w:rFonts w:ascii="Arial" w:eastAsia="Times New Roman" w:hAnsi="Arial" w:cs="Arial"/>
          <w:color w:val="111111"/>
          <w:sz w:val="24"/>
          <w:szCs w:val="24"/>
        </w:rPr>
        <w:t> Islam spread throughout Arabia, Persia, Egypt, Syria, and Palestine into Europe and North Africa, carrying with it the prohibition against idols and other religious imagery. Instead, devotion to Allah was expressed in spectacularly beautiful decorative, rather than representative, arts: floral, vegetal, and abstract designs. Just as the words of the Torah were sacred to Jews, so was transcription of the Qur’an holy to Muslims.</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Arabic script and aniconic designs decorate</w:t>
      </w:r>
      <w:r w:rsidRPr="00DF5CEC">
        <w:rPr>
          <w:rFonts w:ascii="Arial" w:eastAsia="Times New Roman" w:hAnsi="Arial" w:cs="Arial"/>
          <w:color w:val="111111"/>
          <w:sz w:val="24"/>
          <w:szCs w:val="24"/>
        </w:rPr>
        <w:t> mosques in every area where Islam settled, and they were stylistically linked to the traditions, skills, and materials of the regions and periods out of which they grew. For example, at the Madrasa Imami, a theological college in Isfahan, Persia (Iran), Qur’anic inscriptions in pure and beautiful calligraphy were accompanied by intricate geometric motifs as well as complex floral and vine-like patterns covering the walls of the mihrab, or prayer niche. The niche is now preserved at the Metropolitan Museum of Art in New York City.</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noProof/>
          <w:color w:val="FF0000"/>
          <w:sz w:val="24"/>
          <w:szCs w:val="24"/>
        </w:rPr>
        <w:lastRenderedPageBreak/>
        <w:drawing>
          <wp:inline distT="0" distB="0" distL="0" distR="0" wp14:anchorId="341D69A9" wp14:editId="163BF4F9">
            <wp:extent cx="3076575" cy="4572000"/>
            <wp:effectExtent l="0" t="0" r="9525" b="0"/>
            <wp:docPr id="6" name="Picture 6" descr="Relief sculpture on the Arch of Titus in Rome">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lief sculpture on the Arch of Titus in Rome">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76575" cy="4572000"/>
                    </a:xfrm>
                    <a:prstGeom prst="rect">
                      <a:avLst/>
                    </a:prstGeom>
                    <a:noFill/>
                    <a:ln>
                      <a:noFill/>
                    </a:ln>
                  </pic:spPr>
                </pic:pic>
              </a:graphicData>
            </a:graphic>
          </wp:inline>
        </w:drawing>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Relief sculpture on the Arch of Titus in Rome</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Each carefully cut,</w:t>
      </w:r>
      <w:r w:rsidRPr="00DF5CEC">
        <w:rPr>
          <w:rFonts w:ascii="Arial" w:eastAsia="Times New Roman" w:hAnsi="Arial" w:cs="Arial"/>
          <w:color w:val="111111"/>
          <w:sz w:val="24"/>
          <w:szCs w:val="24"/>
        </w:rPr>
        <w:t> glazed, painted tile has a rich cobalt blue underglaze. Persia was well known as a source of raw cobalt, which was widely traded throughout the region and into China. Persian architectural elements also traveled with the spread of Islam. Oriented toward Mecca, the niche contains a verse of the Qur’an for daily prayers and meditations.</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The topic arts,</w:t>
      </w:r>
      <w:r w:rsidRPr="00DF5CEC">
        <w:rPr>
          <w:rFonts w:ascii="Arial" w:eastAsia="Times New Roman" w:hAnsi="Arial" w:cs="Arial"/>
          <w:color w:val="111111"/>
          <w:sz w:val="24"/>
          <w:szCs w:val="24"/>
        </w:rPr>
        <w:t> throughout the Islamic world, were dedicated largely to historic and romantic legends, but were occasionally emboldened with pictures of the Prophet Muhammad himself. In such cases his face was often left blank, or a white mask covered the bottom of it, in deference to religious proscriptions against representation. At times he was shown mounted on his steed, Baraq, who had a human head and transported the Prophet to heaven.</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Christian imagery developed slowly,</w:t>
      </w:r>
      <w:r w:rsidRPr="00DF5CEC">
        <w:rPr>
          <w:rFonts w:ascii="Arial" w:eastAsia="Times New Roman" w:hAnsi="Arial" w:cs="Arial"/>
          <w:color w:val="111111"/>
          <w:sz w:val="24"/>
          <w:szCs w:val="24"/>
        </w:rPr>
        <w:t xml:space="preserve"> accumulating authority as the church itself grew from an illegal, hidden, secret cult to an immensely powerful one. Contributing to the influence of the church were rulers who associated themselves with and promoted </w:t>
      </w:r>
      <w:r w:rsidRPr="00DF5CEC">
        <w:rPr>
          <w:rFonts w:ascii="Arial" w:eastAsia="Times New Roman" w:hAnsi="Arial" w:cs="Arial"/>
          <w:color w:val="111111"/>
          <w:sz w:val="24"/>
          <w:szCs w:val="24"/>
        </w:rPr>
        <w:lastRenderedPageBreak/>
        <w:t>Christianity. During the fourth, fifth, and sixth centuries, the image of Jesus changed from a humble shepherd to a richly robed and commanding persona—a fitting companion for the emperors whose images were also portrayed in mosaics on the walls of churches.</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Representations of the Crucifixion also reflect their historic context.</w:t>
      </w:r>
      <w:r w:rsidRPr="00DF5CEC">
        <w:rPr>
          <w:rFonts w:ascii="Arial" w:eastAsia="Times New Roman" w:hAnsi="Arial" w:cs="Arial"/>
          <w:color w:val="111111"/>
          <w:sz w:val="24"/>
          <w:szCs w:val="24"/>
        </w:rPr>
        <w:t> The earliest known Crucifixion images, small oval seals, are from the middle of the fourth century. Even after the Emperor Constantine embraced Christianity and began building churches, and the new religion-seeking converts supported the use of images as a means of spreading its ideas, representation of the Crucifixion was still uncommon, and when portrayed, it was rudimentary and symbolic: Christ seemingly standing with his arms spread wide, his eyes open and his face expressionless. The Passion of Christ was not the kind of image to encourage conversion and did not become part of the iconography until Christianity was well established. The Gero Crucifix, a wooden sculpture about 6 feet high, installed at the Cologne Cathedral in 970 at the behest of Archbishop Gero, is a landmark: Christ is represented as gaunt and clearly in agony. This began an era when individuals contemplating the life of Christ felt a personal connection with him and his suffering. That closeness was intensified in the Gero sculpture by the fact that the head of Christ contains a receptacle designed to hold the host that, to the faithful, is literally the body of Christ.</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In a famous letter he wrote in 600 CE,</w:t>
      </w:r>
      <w:r w:rsidRPr="00DF5CEC">
        <w:rPr>
          <w:rFonts w:ascii="Arial" w:eastAsia="Times New Roman" w:hAnsi="Arial" w:cs="Arial"/>
          <w:color w:val="111111"/>
          <w:sz w:val="24"/>
          <w:szCs w:val="24"/>
        </w:rPr>
        <w:t> Pope Gregory I chastised a bishop for destroying images in his church. Gregory vigorously supported art as educational, especially for church-goers and potential churchgoers who could not read. In the eighth century, however, Emperor Leo III, believing that the use of images was a misplacement of love, began a campaign of iconoclasm. His motivation was also political. Leo was a ruler, not a cleric, and to him the church was gaining advantages in untaxed wealth, beautiful buildings, and devotional images that drew multitudes of faithful worshipers at the expense of imperial prosperity and power. In 726, Leo launched an iconoclastic rampage through the Byzantine world that lasted on and off for over 100 years.</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noProof/>
          <w:color w:val="FF0000"/>
          <w:sz w:val="24"/>
          <w:szCs w:val="24"/>
        </w:rPr>
        <w:lastRenderedPageBreak/>
        <w:drawing>
          <wp:inline distT="0" distB="0" distL="0" distR="0" wp14:anchorId="676B480B" wp14:editId="06146BA1">
            <wp:extent cx="3219450" cy="4572000"/>
            <wp:effectExtent l="0" t="0" r="0" b="0"/>
            <wp:docPr id="7" name="Picture 7" descr="Mihrab in the Masjid-e Jameh in Kerman. ">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ihrab in the Masjid-e Jameh in Kerman. ">
                      <a:hlinkClick r:id="rId13" tgtFrame="&quot;_blank&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19450" cy="4572000"/>
                    </a:xfrm>
                    <a:prstGeom prst="rect">
                      <a:avLst/>
                    </a:prstGeom>
                    <a:noFill/>
                    <a:ln>
                      <a:noFill/>
                    </a:ln>
                  </pic:spPr>
                </pic:pic>
              </a:graphicData>
            </a:graphic>
          </wp:inline>
        </w:drawing>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Mihrab in the Masjid-e Jameh in Kerman.</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The popes in Rome continued to</w:t>
      </w:r>
      <w:r w:rsidRPr="00DF5CEC">
        <w:rPr>
          <w:rFonts w:ascii="Arial" w:eastAsia="Times New Roman" w:hAnsi="Arial" w:cs="Arial"/>
          <w:color w:val="111111"/>
          <w:sz w:val="24"/>
          <w:szCs w:val="24"/>
        </w:rPr>
        <w:t> approve the use of art in the church over the centuries. Their disagreement with Leo’s point of view contributed to a split between Eastern Orthodox and Western Roman Christianity that has never mended. Marilyn Stokstad describes the conflicting philosophies on which the opposing sides based their arguments for or against religious imagery.</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noProof/>
          <w:color w:val="FF0000"/>
          <w:sz w:val="24"/>
          <w:szCs w:val="24"/>
        </w:rPr>
        <w:lastRenderedPageBreak/>
        <w:drawing>
          <wp:inline distT="0" distB="0" distL="0" distR="0" wp14:anchorId="19B7AB0F" wp14:editId="48892D01">
            <wp:extent cx="3267075" cy="4572000"/>
            <wp:effectExtent l="0" t="0" r="9525" b="0"/>
            <wp:docPr id="8" name="Picture 8" descr="Ascent of the Prophet Muhammad to Heaven, from a copy of the Falnama or topic of Omens. ">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scent of the Prophet Muhammad to Heaven, from a copy of the Falnama or topic of Omens. ">
                      <a:hlinkClick r:id="rId15" tgtFrame="&quot;_blank&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67075" cy="4572000"/>
                    </a:xfrm>
                    <a:prstGeom prst="rect">
                      <a:avLst/>
                    </a:prstGeom>
                    <a:noFill/>
                    <a:ln>
                      <a:noFill/>
                    </a:ln>
                  </pic:spPr>
                </pic:pic>
              </a:graphicData>
            </a:graphic>
          </wp:inline>
        </w:drawing>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Ascent of the Prophet Muhammad to Heaven, from a copy of the Falnama or topic of Omens.</w:t>
      </w:r>
    </w:p>
    <w:p w:rsidR="00DF5CEC" w:rsidRPr="00DF5CEC" w:rsidRDefault="00DF5CEC" w:rsidP="00DF5CEC">
      <w:pPr>
        <w:shd w:val="clear" w:color="auto" w:fill="FFFFFF"/>
        <w:spacing w:after="360" w:line="360" w:lineRule="atLeast"/>
        <w:rPr>
          <w:rFonts w:ascii="Arial" w:eastAsia="Times New Roman" w:hAnsi="Arial" w:cs="Arial"/>
          <w:color w:val="111111"/>
          <w:sz w:val="24"/>
          <w:szCs w:val="24"/>
        </w:rPr>
      </w:pPr>
      <w:r w:rsidRPr="00DF5CEC">
        <w:rPr>
          <w:rFonts w:ascii="Arial" w:eastAsia="Times New Roman" w:hAnsi="Arial" w:cs="Arial"/>
          <w:color w:val="111111"/>
          <w:sz w:val="24"/>
          <w:szCs w:val="24"/>
        </w:rPr>
        <w:t>The iconoclasts claimed that representations of Jesus Christ, because they portrayed him as human, promoted heresy by separating his divine from his human nature or by misrepresenting the two natures as one. Iconodules (defenders of devotional images) countered that, upon assuming human form as Jesus, God took on all human characteristics, including visibility. According to this view, images of Christ, testifying to that visibility, demonstrate faith in his dual nature and not, as the iconoclasts claimed, denial.</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Few icons survived Leo’s campaign,</w:t>
      </w:r>
      <w:r w:rsidRPr="00DF5CEC">
        <w:rPr>
          <w:rFonts w:ascii="Arial" w:eastAsia="Times New Roman" w:hAnsi="Arial" w:cs="Arial"/>
          <w:color w:val="111111"/>
          <w:sz w:val="24"/>
          <w:szCs w:val="24"/>
        </w:rPr>
        <w:t> but a revitalization of Byzantine art began during the ninth century and continued, interrupted by the Crusades, until Constantinople was conquered by the Ottoman Turks in 1453 CE.</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An icon is, by definition,</w:t>
      </w:r>
      <w:r w:rsidRPr="00DF5CEC">
        <w:rPr>
          <w:rFonts w:ascii="Arial" w:eastAsia="Times New Roman" w:hAnsi="Arial" w:cs="Arial"/>
          <w:color w:val="111111"/>
          <w:sz w:val="24"/>
          <w:szCs w:val="24"/>
        </w:rPr>
        <w:t xml:space="preserve"> a portrait of a holy person. During the eleventh and twelfth centuries, icons of the Virgin and Child became influential in both the Eastern Orthodox </w:t>
      </w:r>
      <w:r w:rsidRPr="00DF5CEC">
        <w:rPr>
          <w:rFonts w:ascii="Arial" w:eastAsia="Times New Roman" w:hAnsi="Arial" w:cs="Arial"/>
          <w:color w:val="111111"/>
          <w:sz w:val="24"/>
          <w:szCs w:val="24"/>
        </w:rPr>
        <w:lastRenderedPageBreak/>
        <w:t>and Roman churches. Their veneration was especially personal and devotional in the East. Though accustomed to seeing icons in museums, to understand their power is to imagine them in the churches for which they were made. In that context all of the worshiper’s senses are engaged: incense wafts by, candlelight flickers, the sounds of music and prayer are heard, and the taste of the Holy Communion persists, as the beholder is moved to touch and kiss the icon.</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Byzantine art cast a wide spell that included Ethiopia</w:t>
      </w:r>
      <w:r w:rsidRPr="00DF5CEC">
        <w:rPr>
          <w:rFonts w:ascii="Arial" w:eastAsia="Times New Roman" w:hAnsi="Arial" w:cs="Arial"/>
          <w:color w:val="111111"/>
          <w:sz w:val="24"/>
          <w:szCs w:val="24"/>
        </w:rPr>
        <w:t>, where icons of great beauty and sensibility were crafted. One such Ethiopian image is a panel of a diptych painted in the late fifteenth century. The anonymous artist was an outstanding painter in the court of an emperor who ruled from 1438 to 1468. On the other wing of the diptych are the half-portraits of a bevy of holy men and Saint George on his horse.</w:t>
      </w:r>
    </w:p>
    <w:p w:rsidR="00DF5CEC" w:rsidRPr="00DF5CEC" w:rsidRDefault="00DF5CEC" w:rsidP="00DF5CEC">
      <w:pPr>
        <w:shd w:val="clear" w:color="auto" w:fill="FFFFFF"/>
        <w:spacing w:after="360" w:line="360" w:lineRule="atLeast"/>
        <w:rPr>
          <w:rFonts w:ascii="Arial" w:eastAsia="Times New Roman" w:hAnsi="Arial" w:cs="Arial"/>
          <w:color w:val="111111"/>
          <w:sz w:val="24"/>
          <w:szCs w:val="24"/>
        </w:rPr>
      </w:pPr>
      <w:r w:rsidRPr="00DF5CEC">
        <w:rPr>
          <w:rFonts w:ascii="Arial" w:eastAsia="Times New Roman" w:hAnsi="Arial" w:cs="Arial"/>
          <w:color w:val="111111"/>
          <w:sz w:val="24"/>
          <w:szCs w:val="24"/>
        </w:rPr>
        <w:t>Ethiopians thought that they were meant to replace the Israelites as God’s chosen people, and that Jews in the entourage of Prince Me-nilek, son of King Solomon’s union with their own Queen of Sheba, had brought the Ark of the Covenant from Israel to Ethiopia. Conversion to Christianity began in 324 when Ezana, King of Aksum, accepted Jesus as the Jews’ promised Messiah.</w:t>
      </w:r>
    </w:p>
    <w:p w:rsidR="00DF5CEC" w:rsidRPr="00DF5CEC" w:rsidRDefault="00DF5CEC" w:rsidP="00DF5CEC">
      <w:pPr>
        <w:shd w:val="clear" w:color="auto" w:fill="FFFFFF"/>
        <w:spacing w:after="360" w:line="360" w:lineRule="atLeast"/>
        <w:rPr>
          <w:rFonts w:ascii="Arial" w:eastAsia="Times New Roman" w:hAnsi="Arial" w:cs="Arial"/>
          <w:color w:val="111111"/>
          <w:sz w:val="24"/>
          <w:szCs w:val="24"/>
        </w:rPr>
      </w:pPr>
      <w:r w:rsidRPr="00DF5CEC">
        <w:rPr>
          <w:rFonts w:ascii="Arial" w:eastAsia="Times New Roman" w:hAnsi="Arial" w:cs="Arial"/>
          <w:color w:val="111111"/>
          <w:sz w:val="24"/>
          <w:szCs w:val="24"/>
        </w:rPr>
        <w:t>Western scholars describe the fifteenth century as the golden age of Ethiopian art, and cite written evidence from the period to show that worshipers believed in miraculous images. This text describes a painting in which both Mary and Jesus are seen to move and, moreover, to speak directly to a monk in their presence. “The spirit of God dwells in it,” the text proclaims. “You should not think that it is a mere picture” (Haile 1992).The Virgin Mary on the wing of this diptych is a young Ethiopian beauty who radiates sweetness and whose voice, were she to speak, would chime like a musical whisper.</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While Ethiopian art flourished,</w:t>
      </w:r>
      <w:r w:rsidRPr="00DF5CEC">
        <w:rPr>
          <w:rFonts w:ascii="Arial" w:eastAsia="Times New Roman" w:hAnsi="Arial" w:cs="Arial"/>
          <w:color w:val="111111"/>
          <w:sz w:val="24"/>
          <w:szCs w:val="24"/>
        </w:rPr>
        <w:t> western Europe was in transition, with growing cities and an expanding middle class. It was a time of great changes—now known as the Renaissance —in both northern and Italian art. Wealthy merchants were joining rulers and the church as patrons of art. Humanism came increasingly to replace scholasticism, and artists, who began to stress and insist upon their own individuality, turned their attention from the ideal to the actual: mood, shadows, perspective, resemblance, emotion, movement, time, and distance.</w:t>
      </w:r>
    </w:p>
    <w:p w:rsidR="00DF5CEC" w:rsidRPr="00DF5CEC" w:rsidRDefault="00DF5CEC" w:rsidP="00DF5CEC">
      <w:pPr>
        <w:shd w:val="clear" w:color="auto" w:fill="FFFFFF"/>
        <w:spacing w:after="360" w:line="360" w:lineRule="atLeast"/>
        <w:rPr>
          <w:rFonts w:ascii="Arial" w:eastAsia="Times New Roman" w:hAnsi="Arial" w:cs="Arial"/>
          <w:color w:val="111111"/>
          <w:sz w:val="24"/>
          <w:szCs w:val="24"/>
        </w:rPr>
      </w:pPr>
      <w:r w:rsidRPr="00DF5CEC">
        <w:rPr>
          <w:rFonts w:ascii="Arial" w:eastAsia="Times New Roman" w:hAnsi="Arial" w:cs="Arial"/>
          <w:color w:val="111111"/>
          <w:sz w:val="24"/>
          <w:szCs w:val="24"/>
        </w:rPr>
        <w:t xml:space="preserve">During both the northern and Italian Renaissance, artists occasionally went so far as to show images of God. The most outstanding example is on Michelangelo’s ceiling of the </w:t>
      </w:r>
      <w:r w:rsidRPr="00DF5CEC">
        <w:rPr>
          <w:rFonts w:ascii="Arial" w:eastAsia="Times New Roman" w:hAnsi="Arial" w:cs="Arial"/>
          <w:color w:val="111111"/>
          <w:sz w:val="24"/>
          <w:szCs w:val="24"/>
        </w:rPr>
        <w:lastRenderedPageBreak/>
        <w:t>Sistine Chapel: It represents the biblical origin of humankind, the moment when God created Adam.</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b/>
          <w:bCs/>
          <w:color w:val="111111"/>
          <w:sz w:val="24"/>
          <w:szCs w:val="24"/>
        </w:rPr>
        <w:t>In the sixteenth century,</w:t>
      </w:r>
      <w:r w:rsidRPr="00DF5CEC">
        <w:rPr>
          <w:rFonts w:ascii="Arial" w:eastAsia="Times New Roman" w:hAnsi="Arial" w:cs="Arial"/>
          <w:color w:val="111111"/>
          <w:sz w:val="24"/>
          <w:szCs w:val="24"/>
        </w:rPr>
        <w:t> during the Protestant Reformation and the Counter-Reformation, the wealth, power, and corruption of the church again came under fierce attack, this time in western Europe. Once again religious images were destroyed, and those who defended them were assaulted, sometimes in spontaneous raids and sometimes in well-organized campaigns.</w:t>
      </w:r>
    </w:p>
    <w:p w:rsidR="00DF5CEC" w:rsidRPr="00DF5CEC" w:rsidRDefault="00DF5CEC" w:rsidP="00DF5CEC">
      <w:pPr>
        <w:shd w:val="clear" w:color="auto" w:fill="FFFFFF"/>
        <w:spacing w:after="360" w:line="360" w:lineRule="atLeast"/>
        <w:rPr>
          <w:rFonts w:ascii="Arial" w:eastAsia="Times New Roman" w:hAnsi="Arial" w:cs="Arial"/>
          <w:color w:val="111111"/>
          <w:sz w:val="24"/>
          <w:szCs w:val="24"/>
        </w:rPr>
      </w:pPr>
      <w:r w:rsidRPr="00DF5CEC">
        <w:rPr>
          <w:rFonts w:ascii="Arial" w:eastAsia="Times New Roman" w:hAnsi="Arial" w:cs="Arial"/>
          <w:color w:val="111111"/>
          <w:sz w:val="24"/>
          <w:szCs w:val="24"/>
        </w:rPr>
        <w:t>While it is difficult to understand how inanimate objects provoke reactions that range from passionate love to passionate hatred, it is well to remember that love, religion, and art, with their potential to unite and educate people, also have the power to tear them apart with envy, thievery, cruelty, violence, and with war and its henchman, iconoclasm.</w:t>
      </w:r>
    </w:p>
    <w:p w:rsidR="00DF5CEC" w:rsidRPr="00DF5CEC" w:rsidRDefault="00DF5CEC" w:rsidP="00DF5CEC">
      <w:pPr>
        <w:shd w:val="clear" w:color="auto" w:fill="FFFFFF"/>
        <w:spacing w:after="0" w:line="360" w:lineRule="atLeast"/>
        <w:rPr>
          <w:rFonts w:ascii="Arial" w:eastAsia="Times New Roman" w:hAnsi="Arial" w:cs="Arial"/>
          <w:color w:val="111111"/>
          <w:sz w:val="24"/>
          <w:szCs w:val="24"/>
        </w:rPr>
      </w:pPr>
      <w:r w:rsidRPr="00DF5CEC">
        <w:rPr>
          <w:rFonts w:ascii="Arial" w:eastAsia="Times New Roman" w:hAnsi="Arial" w:cs="Arial"/>
          <w:color w:val="111111"/>
          <w:sz w:val="24"/>
          <w:szCs w:val="24"/>
        </w:rPr>
        <w:t> </w:t>
      </w:r>
    </w:p>
    <w:p w:rsidR="00AC1F28" w:rsidRDefault="00AC1F28" w:rsidP="00AC1F28">
      <w:pPr>
        <w:pStyle w:val="Heading1"/>
      </w:pPr>
      <w:r>
        <w:t>From Heretical.com</w:t>
      </w:r>
    </w:p>
    <w:p w:rsidR="00AC1F28" w:rsidRDefault="00AC1F28" w:rsidP="00AC1F28"/>
    <w:p w:rsidR="00AC1F28" w:rsidRDefault="00AC1F28" w:rsidP="00AC1F28">
      <w:r>
        <w:t>WARNING: THIS IS FROM AN ANTI-SEMITIC WEBSITE. IT IS ONLY PRESENTED HERE AS AN EXAMPLE OF PSEUDO-INTELLECTUAL HATE MONGERING</w:t>
      </w:r>
    </w:p>
    <w:p w:rsidR="00AC1F28" w:rsidRDefault="00AC1F28" w:rsidP="00AC1F28"/>
    <w:tbl>
      <w:tblPr>
        <w:tblW w:w="4938" w:type="pct"/>
        <w:jc w:val="center"/>
        <w:tblCellSpacing w:w="0" w:type="dxa"/>
        <w:tblCellMar>
          <w:left w:w="0" w:type="dxa"/>
          <w:right w:w="0" w:type="dxa"/>
        </w:tblCellMar>
        <w:tblLook w:val="04A0" w:firstRow="1" w:lastRow="0" w:firstColumn="1" w:lastColumn="0" w:noHBand="0" w:noVBand="1"/>
      </w:tblPr>
      <w:tblGrid>
        <w:gridCol w:w="9244"/>
      </w:tblGrid>
      <w:tr w:rsidR="00AC1F28" w:rsidTr="00F57F1C">
        <w:trPr>
          <w:tblCellSpacing w:w="0" w:type="dxa"/>
          <w:jc w:val="center"/>
        </w:trPr>
        <w:tc>
          <w:tcPr>
            <w:tcW w:w="5000" w:type="pct"/>
            <w:vAlign w:val="center"/>
            <w:hideMark/>
          </w:tcPr>
          <w:p w:rsidR="00AC1F28" w:rsidRDefault="00AC1F28" w:rsidP="00F57F1C">
            <w:r>
              <w:t>The corruption of taste</w:t>
            </w:r>
          </w:p>
          <w:p w:rsidR="00AC1F28" w:rsidRDefault="00AC1F28" w:rsidP="00F57F1C">
            <w:pPr>
              <w:rPr>
                <w:sz w:val="20"/>
                <w:szCs w:val="20"/>
              </w:rPr>
            </w:pPr>
          </w:p>
          <w:p w:rsidR="00AC1F28" w:rsidRDefault="00AC1F28" w:rsidP="00F57F1C">
            <w:pPr>
              <w:rPr>
                <w:sz w:val="48"/>
                <w:szCs w:val="48"/>
              </w:rPr>
            </w:pPr>
            <w:r>
              <w:t>THE JEWS IN ART</w:t>
            </w:r>
          </w:p>
          <w:p w:rsidR="00AC1F28" w:rsidRDefault="00AC1F28" w:rsidP="00F57F1C">
            <w:r>
              <w:t>PART 1</w:t>
            </w:r>
          </w:p>
        </w:tc>
      </w:tr>
      <w:tr w:rsidR="00AC1F28" w:rsidTr="00F57F1C">
        <w:trPr>
          <w:tblCellSpacing w:w="0" w:type="dxa"/>
          <w:jc w:val="center"/>
        </w:trPr>
        <w:tc>
          <w:tcPr>
            <w:tcW w:w="5000" w:type="pct"/>
            <w:vAlign w:val="center"/>
            <w:hideMark/>
          </w:tcPr>
          <w:p w:rsidR="00AC1F28" w:rsidRDefault="00AC1F28" w:rsidP="00F57F1C">
            <w:pPr>
              <w:rPr>
                <w:rFonts w:ascii="Arial" w:hAnsi="Arial" w:cs="Arial"/>
                <w:sz w:val="20"/>
                <w:szCs w:val="20"/>
              </w:rPr>
            </w:pPr>
            <w:r>
              <w:rPr>
                <w:rFonts w:ascii="Arial" w:hAnsi="Arial" w:cs="Arial"/>
                <w:sz w:val="20"/>
                <w:szCs w:val="20"/>
              </w:rPr>
              <w:t xml:space="preserve">JEWISH ART, like art in Russia after the communist take-over, scarcely exists in its own right and culturally its influence on mankind has been negligible – that is until Jewish 'art' during the present century became positively baneful. </w:t>
            </w:r>
          </w:p>
          <w:p w:rsidR="00AC1F28" w:rsidRDefault="00AC1F28" w:rsidP="00F57F1C">
            <w:pPr>
              <w:rPr>
                <w:rFonts w:ascii="Arial" w:hAnsi="Arial" w:cs="Arial"/>
                <w:sz w:val="20"/>
                <w:szCs w:val="20"/>
              </w:rPr>
            </w:pPr>
            <w:r>
              <w:rPr>
                <w:rFonts w:ascii="Arial" w:hAnsi="Arial" w:cs="Arial"/>
                <w:sz w:val="20"/>
                <w:szCs w:val="20"/>
              </w:rPr>
              <w:t xml:space="preserve">In Russia, however, there is a traditional Russian art from pre-communist days – literature, music and the ballet which flourished under the Tsars and upon the significance of which the communist regime traded unblushingly. </w:t>
            </w:r>
          </w:p>
          <w:p w:rsidR="00AC1F28" w:rsidRDefault="00AC1F28" w:rsidP="00F57F1C">
            <w:pPr>
              <w:rPr>
                <w:rFonts w:ascii="Arial" w:hAnsi="Arial" w:cs="Arial"/>
                <w:sz w:val="20"/>
                <w:szCs w:val="20"/>
              </w:rPr>
            </w:pPr>
            <w:r>
              <w:rPr>
                <w:rFonts w:ascii="Arial" w:hAnsi="Arial" w:cs="Arial"/>
                <w:sz w:val="20"/>
                <w:szCs w:val="20"/>
              </w:rPr>
              <w:t xml:space="preserve">The case of Jewish art is different since until modern times the Jews had no nation state and the scope of aspiring artists was limited by the social conditions imposed on the Jews in varying degrees of severity in different countries and over many centuries. They were in fact forbidden to indulge in important artistic activities. Obviously there must have been reasons for this and for the apparently harsh treatment of these people. It is not proposed to explore in depth these reasons or to analyse why nobody loves the Jews. Indeed, with the beady eye of the Board of Deputies of British Jews probing </w:t>
            </w:r>
            <w:r>
              <w:rPr>
                <w:rFonts w:ascii="Arial" w:hAnsi="Arial" w:cs="Arial"/>
                <w:sz w:val="20"/>
                <w:szCs w:val="20"/>
              </w:rPr>
              <w:lastRenderedPageBreak/>
              <w:t xml:space="preserve">everywhere in efforts to neutralise the world's growing hostility to the troublesome state of Israel with all its ramifications, it might be dangerous to assert the right of open criticism. </w:t>
            </w:r>
          </w:p>
          <w:p w:rsidR="00AC1F28" w:rsidRDefault="00AC1F28" w:rsidP="00F57F1C">
            <w:pPr>
              <w:rPr>
                <w:rFonts w:ascii="Arial" w:hAnsi="Arial" w:cs="Arial"/>
                <w:sz w:val="20"/>
                <w:szCs w:val="20"/>
              </w:rPr>
            </w:pPr>
            <w:r>
              <w:rPr>
                <w:rFonts w:ascii="Arial" w:hAnsi="Arial" w:cs="Arial"/>
                <w:sz w:val="20"/>
                <w:szCs w:val="20"/>
              </w:rPr>
              <w:t xml:space="preserve">From the earliest times visual art was discouraged among conforming Jews by the Ten Commandments – </w:t>
            </w:r>
            <w:r>
              <w:rPr>
                <w:rFonts w:ascii="Arial" w:hAnsi="Arial" w:cs="Arial"/>
                <w:i/>
                <w:iCs/>
                <w:sz w:val="20"/>
                <w:szCs w:val="20"/>
              </w:rPr>
              <w:t>Thou shall not make unto thee a graven image, nor any manner of likeness of anything that is in the heaven above or that is in the water under the earth.</w:t>
            </w:r>
            <w:r>
              <w:rPr>
                <w:rFonts w:ascii="Arial" w:hAnsi="Arial" w:cs="Arial"/>
                <w:sz w:val="20"/>
                <w:szCs w:val="20"/>
              </w:rPr>
              <w:t xml:space="preserve"> This oppressive injunction was given out in more detail in Deuteronomy IV, 17-18. Admittedly the prohibition was variously interpreted throughout later centuries, but at least in 66 A.D., after the expulsion of the Romans, the ban was emphatically observed by Jewish Government order. Throughout this early period of Jewish history many intolerant iconoclasts emerged and on occasion even the Romans were forced to comply with the wishes of God's Chosen when it came to the display of human images and statues. </w:t>
            </w:r>
          </w:p>
        </w:tc>
      </w:tr>
    </w:tbl>
    <w:p w:rsidR="00AC1F28" w:rsidRDefault="00AC1F28" w:rsidP="00AC1F28">
      <w:r>
        <w:lastRenderedPageBreak/>
        <w:t>…….</w:t>
      </w:r>
    </w:p>
    <w:p w:rsidR="00AC1F28" w:rsidRDefault="00AC1F28" w:rsidP="00AC1F28">
      <w:pPr>
        <w:pStyle w:val="NormalWeb"/>
        <w:rPr>
          <w:rFonts w:ascii="Arial" w:hAnsi="Arial" w:cs="Arial"/>
          <w:sz w:val="20"/>
          <w:szCs w:val="20"/>
        </w:rPr>
      </w:pPr>
      <w:r>
        <w:rPr>
          <w:rFonts w:ascii="Arial" w:hAnsi="Arial" w:cs="Arial"/>
          <w:sz w:val="20"/>
          <w:szCs w:val="20"/>
        </w:rPr>
        <w:t xml:space="preserve">It is quite inappropriate for Jews to prate about the importance of Jewish art before 1900 and to make exaggerated claims about Jewish artists who certainly belonged to no traceable Jewish school. The Jewish art scholar, Berenson, in </w:t>
      </w:r>
      <w:r>
        <w:rPr>
          <w:rStyle w:val="HTMLCite"/>
          <w:rFonts w:ascii="Arial" w:hAnsi="Arial" w:cs="Arial"/>
          <w:sz w:val="20"/>
          <w:szCs w:val="20"/>
        </w:rPr>
        <w:t>The Visual Arts</w:t>
      </w:r>
      <w:r>
        <w:rPr>
          <w:rFonts w:ascii="Arial" w:hAnsi="Arial" w:cs="Arial"/>
          <w:sz w:val="20"/>
          <w:szCs w:val="20"/>
        </w:rPr>
        <w:t xml:space="preserve">, admitted that Jewish artists have never shown originality or expressed anything that could be called Jewish. As the Jewish art critic, Ernest Namenyi, observed in </w:t>
      </w:r>
      <w:r>
        <w:rPr>
          <w:rStyle w:val="HTMLCite"/>
          <w:rFonts w:ascii="Arial" w:hAnsi="Arial" w:cs="Arial"/>
          <w:sz w:val="20"/>
          <w:szCs w:val="20"/>
        </w:rPr>
        <w:t>Jewish Art</w:t>
      </w:r>
      <w:r>
        <w:rPr>
          <w:rFonts w:ascii="Arial" w:hAnsi="Arial" w:cs="Arial"/>
          <w:sz w:val="20"/>
          <w:szCs w:val="20"/>
        </w:rPr>
        <w:t xml:space="preserve"> (1961), 'Up to the middle of the nineteenth century no single Jewish artist and no work of art created by a Jew can be proved to have definitely contributed towards forming the style of any one period.' </w:t>
      </w:r>
    </w:p>
    <w:p w:rsidR="00AC1F28" w:rsidRDefault="00AC1F28" w:rsidP="00AC1F28">
      <w:pPr>
        <w:pStyle w:val="NormalWeb"/>
        <w:rPr>
          <w:rFonts w:ascii="Arial" w:hAnsi="Arial" w:cs="Arial"/>
          <w:sz w:val="20"/>
          <w:szCs w:val="20"/>
        </w:rPr>
      </w:pPr>
      <w:r>
        <w:rPr>
          <w:rFonts w:ascii="Arial" w:hAnsi="Arial" w:cs="Arial"/>
          <w:sz w:val="20"/>
          <w:szCs w:val="20"/>
        </w:rPr>
        <w:t xml:space="preserve">It seems appropriate that two published statements from Jews – and in some respects they have never lacked perception – should end this brief survey. In the twentieth century art holocaust, the equivalent of the gas chamber was introduced into the visual arts; when the kingdom of the spirit was invaded by the Jewish boot with a calculated viciousness and with a vengeance springing from the Old Testament. The labours and aspirations of the painter and sculptor were subtly channelled into paths which have led to a cultural annihilation more complete than that which overtook the six million in Jewish fiction. </w:t>
      </w:r>
    </w:p>
    <w:p w:rsidR="00AC1F28" w:rsidRDefault="00AC1F28" w:rsidP="00AC1F28">
      <w:r>
        <w:t>……</w:t>
      </w:r>
    </w:p>
    <w:p w:rsidR="00AC1F28" w:rsidRPr="00F00E72" w:rsidRDefault="00AC1F28" w:rsidP="00AC1F28">
      <w:r w:rsidRPr="00F00E72">
        <w:t>Supplement by Simon Sheppard</w:t>
      </w:r>
    </w:p>
    <w:p w:rsidR="00AC1F28" w:rsidRPr="00F00E72" w:rsidRDefault="00AC1F28" w:rsidP="00AC1F28">
      <w:pPr>
        <w:rPr>
          <w:bCs/>
          <w:sz w:val="20"/>
          <w:szCs w:val="20"/>
        </w:rPr>
      </w:pPr>
    </w:p>
    <w:p w:rsidR="00AC1F28" w:rsidRPr="00F00E72" w:rsidRDefault="00AC1F28" w:rsidP="00AC1F28">
      <w:pPr>
        <w:rPr>
          <w:bCs/>
          <w:sz w:val="20"/>
          <w:szCs w:val="20"/>
        </w:rPr>
      </w:pPr>
      <w:r w:rsidRPr="00F00E72">
        <w:rPr>
          <w:bCs/>
          <w:sz w:val="20"/>
          <w:szCs w:val="20"/>
        </w:rPr>
        <w:t xml:space="preserve">It is proposed, as a thesis for consideration, that Jews have little or no high artistic sense as we know it. Consider the </w:t>
      </w:r>
      <w:r w:rsidRPr="00F00E72">
        <w:rPr>
          <w:bCs/>
          <w:i/>
          <w:iCs/>
          <w:sz w:val="20"/>
          <w:szCs w:val="20"/>
        </w:rPr>
        <w:t>eruv</w:t>
      </w:r>
      <w:r w:rsidRPr="00F00E72">
        <w:rPr>
          <w:bCs/>
          <w:sz w:val="20"/>
          <w:szCs w:val="20"/>
        </w:rPr>
        <w:t xml:space="preserve">, a territory which is designated according to Jewish Orthodoxy as an area in which various functions may be performed on the Sabbath, such as pushing a pram or carrying keys. In reality the scheme serves as a test, 'Can we get away with this?' It probes the host nation's tolerance to the Jewish presence, serving the same purpose as an opinion poll, although dressed up as religious doctrine. </w:t>
      </w:r>
      <w:r w:rsidRPr="00F00E72">
        <w:rPr>
          <w:bCs/>
          <w:i/>
          <w:iCs/>
          <w:sz w:val="20"/>
          <w:szCs w:val="20"/>
        </w:rPr>
        <w:t>Eruvs</w:t>
      </w:r>
      <w:r w:rsidRPr="00F00E72">
        <w:rPr>
          <w:bCs/>
          <w:sz w:val="20"/>
          <w:szCs w:val="20"/>
        </w:rPr>
        <w:t xml:space="preserve"> are in place in London's Golder's Green and around a certain prestigious property in Washington, DC. </w:t>
      </w:r>
    </w:p>
    <w:p w:rsidR="00AC1F28" w:rsidRDefault="00AC1F28" w:rsidP="00AC1F28">
      <w:pPr>
        <w:rPr>
          <w:bCs/>
          <w:sz w:val="20"/>
          <w:szCs w:val="20"/>
        </w:rPr>
      </w:pPr>
      <w:r w:rsidRPr="00F00E72">
        <w:rPr>
          <w:bCs/>
          <w:sz w:val="20"/>
          <w:szCs w:val="20"/>
        </w:rPr>
        <w:t xml:space="preserve">Similarly, in much of Jewish 'classical' music can be detected an element of parody. It appears to progress in </w:t>
      </w:r>
      <w:r w:rsidRPr="00F00E72">
        <w:rPr>
          <w:bCs/>
          <w:i/>
          <w:iCs/>
          <w:sz w:val="20"/>
          <w:szCs w:val="20"/>
        </w:rPr>
        <w:t>chutzpah</w:t>
      </w:r>
      <w:r w:rsidRPr="00F00E72">
        <w:rPr>
          <w:bCs/>
          <w:sz w:val="20"/>
          <w:szCs w:val="20"/>
        </w:rPr>
        <w:t xml:space="preserve"> from the songs of the 'English' Finsey to the 'Americans' Gershwin, with his ghastly 'Rhapsody in Blue,' and Copeland, whose barnyard noises seem invariably to be delivered in grandiose style and without a hint of awareness of the mockery that is being done. Besides 'composers,' the competence of Jewish conductors and performers may be adequate, as with many Orientals, but what passes for </w:t>
      </w:r>
      <w:r w:rsidRPr="00F00E72">
        <w:rPr>
          <w:bCs/>
          <w:i/>
          <w:iCs/>
          <w:sz w:val="20"/>
          <w:szCs w:val="20"/>
        </w:rPr>
        <w:t>art</w:t>
      </w:r>
      <w:r w:rsidRPr="00F00E72">
        <w:rPr>
          <w:bCs/>
          <w:sz w:val="20"/>
          <w:szCs w:val="20"/>
        </w:rPr>
        <w:t xml:space="preserve"> is replaced by flamboyant dress and manner. </w:t>
      </w:r>
    </w:p>
    <w:p w:rsidR="008A3695" w:rsidRDefault="008A3695" w:rsidP="003B105E">
      <w:pPr>
        <w:rPr>
          <w:b/>
          <w:sz w:val="28"/>
          <w:szCs w:val="28"/>
        </w:rPr>
      </w:pPr>
    </w:p>
    <w:p w:rsidR="004257BA" w:rsidRDefault="004257BA" w:rsidP="003B105E">
      <w:pPr>
        <w:rPr>
          <w:b/>
          <w:sz w:val="28"/>
          <w:szCs w:val="28"/>
        </w:rPr>
      </w:pPr>
    </w:p>
    <w:p w:rsidR="004257BA" w:rsidRDefault="004257BA" w:rsidP="003B105E">
      <w:pPr>
        <w:rPr>
          <w:b/>
          <w:sz w:val="28"/>
          <w:szCs w:val="28"/>
        </w:rPr>
      </w:pPr>
    </w:p>
    <w:p w:rsidR="00AC1F28" w:rsidRDefault="00AC1F28" w:rsidP="00AC1F28"/>
    <w:tbl>
      <w:tblPr>
        <w:tblW w:w="5048" w:type="pct"/>
        <w:tblCellSpacing w:w="0" w:type="dxa"/>
        <w:tblCellMar>
          <w:left w:w="0" w:type="dxa"/>
          <w:right w:w="0" w:type="dxa"/>
        </w:tblCellMar>
        <w:tblLook w:val="04A0" w:firstRow="1" w:lastRow="0" w:firstColumn="1" w:lastColumn="0" w:noHBand="0" w:noVBand="1"/>
      </w:tblPr>
      <w:tblGrid>
        <w:gridCol w:w="15"/>
        <w:gridCol w:w="9346"/>
        <w:gridCol w:w="89"/>
      </w:tblGrid>
      <w:tr w:rsidR="00AC1F28" w:rsidTr="00F57F1C">
        <w:trPr>
          <w:tblCellSpacing w:w="0" w:type="dxa"/>
        </w:trPr>
        <w:tc>
          <w:tcPr>
            <w:tcW w:w="5000" w:type="pct"/>
            <w:gridSpan w:val="3"/>
            <w:vAlign w:val="bottom"/>
            <w:hideMark/>
          </w:tcPr>
          <w:p w:rsidR="00AC1F28" w:rsidRPr="00A43F4D" w:rsidRDefault="00AC1F28" w:rsidP="00F57F1C">
            <w:pPr>
              <w:pStyle w:val="Heading1"/>
              <w:rPr>
                <w:rStyle w:val="welcome1"/>
                <w:rFonts w:eastAsia="Arial Unicode MS"/>
                <w:b w:val="0"/>
                <w:color w:val="333333"/>
                <w:sz w:val="28"/>
                <w:szCs w:val="28"/>
              </w:rPr>
            </w:pPr>
            <w:r w:rsidRPr="00A43F4D">
              <w:rPr>
                <w:rStyle w:val="welcome1"/>
                <w:rFonts w:eastAsia="Arial Unicode MS"/>
                <w:b w:val="0"/>
                <w:color w:val="333333"/>
                <w:sz w:val="28"/>
                <w:szCs w:val="28"/>
              </w:rPr>
              <w:t>From JewishEncyclopedia.Com</w:t>
            </w:r>
          </w:p>
          <w:p w:rsidR="00AC1F28" w:rsidRDefault="00AC1F28" w:rsidP="00F57F1C">
            <w:pPr>
              <w:rPr>
                <w:rStyle w:val="welcome1"/>
                <w:rFonts w:ascii="Arial Unicode MS" w:eastAsia="Arial Unicode MS" w:hAnsi="Arial Unicode MS" w:cs="Arial Unicode MS"/>
                <w:color w:val="333333"/>
              </w:rPr>
            </w:pPr>
          </w:p>
          <w:p w:rsidR="00AC1F28" w:rsidRDefault="00AC1F28" w:rsidP="00F57F1C">
            <w:pPr>
              <w:rPr>
                <w:rFonts w:ascii="Arial Unicode MS" w:eastAsia="Arial Unicode MS" w:hAnsi="Arial Unicode MS" w:cs="Arial Unicode MS"/>
                <w:sz w:val="18"/>
                <w:szCs w:val="18"/>
              </w:rPr>
            </w:pPr>
            <w:r>
              <w:rPr>
                <w:rStyle w:val="welcome1"/>
                <w:rFonts w:ascii="Arial Unicode MS" w:eastAsia="Arial Unicode MS" w:hAnsi="Arial Unicode MS" w:cs="Arial Unicode MS" w:hint="eastAsia"/>
                <w:color w:val="333333"/>
              </w:rPr>
              <w:t>ART, ATTITUDE OF JUDAISM TOWARD:  </w:t>
            </w:r>
          </w:p>
        </w:tc>
      </w:tr>
      <w:tr w:rsidR="00AC1F28" w:rsidRPr="00A43F4D" w:rsidTr="00F57F1C">
        <w:trPr>
          <w:gridAfter w:val="1"/>
          <w:wAfter w:w="47" w:type="pct"/>
          <w:trHeight w:val="15"/>
          <w:tblCellSpacing w:w="0" w:type="dxa"/>
        </w:trPr>
        <w:tc>
          <w:tcPr>
            <w:tcW w:w="8" w:type="pct"/>
            <w:vAlign w:val="center"/>
            <w:hideMark/>
          </w:tcPr>
          <w:p w:rsidR="00AC1F28" w:rsidRPr="00A43F4D" w:rsidRDefault="00AC1F28" w:rsidP="00F57F1C">
            <w:pPr>
              <w:spacing w:line="15" w:lineRule="atLeast"/>
              <w:rPr>
                <w:rFonts w:eastAsia="Arial Unicode MS"/>
                <w:color w:val="333333"/>
                <w:sz w:val="18"/>
                <w:szCs w:val="18"/>
              </w:rPr>
            </w:pPr>
          </w:p>
          <w:p w:rsidR="00AC1F28" w:rsidRPr="00A43F4D" w:rsidRDefault="00AC1F28" w:rsidP="00F57F1C">
            <w:pPr>
              <w:spacing w:line="15" w:lineRule="atLeast"/>
              <w:rPr>
                <w:rFonts w:eastAsia="Arial Unicode MS"/>
                <w:color w:val="333333"/>
                <w:sz w:val="18"/>
                <w:szCs w:val="18"/>
              </w:rPr>
            </w:pPr>
            <w:r w:rsidRPr="00A43F4D">
              <w:rPr>
                <w:rFonts w:eastAsia="Arial Unicode MS"/>
                <w:color w:val="333333"/>
                <w:sz w:val="18"/>
                <w:szCs w:val="18"/>
              </w:rPr>
              <w:fldChar w:fldCharType="begin"/>
            </w:r>
            <w:r w:rsidRPr="00A43F4D">
              <w:rPr>
                <w:rFonts w:eastAsia="Arial Unicode MS"/>
                <w:color w:val="333333"/>
                <w:sz w:val="18"/>
                <w:szCs w:val="18"/>
              </w:rPr>
              <w:instrText xml:space="preserve"> INCLUDEPICTURE "http://www.jewishencyclopedia.com/images/spacer.gif" \* MERGEFORMATINET </w:instrText>
            </w:r>
            <w:r w:rsidRPr="00A43F4D">
              <w:rPr>
                <w:rFonts w:eastAsia="Arial Unicode MS"/>
                <w:color w:val="333333"/>
                <w:sz w:val="18"/>
                <w:szCs w:val="18"/>
              </w:rPr>
              <w:fldChar w:fldCharType="separate"/>
            </w:r>
            <w:r w:rsidRPr="00A43F4D">
              <w:rPr>
                <w:rFonts w:eastAsia="Arial Unicode MS"/>
                <w:color w:val="333333"/>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5pt;height:.75pt">
                  <v:imagedata r:id="rId17" r:href="rId18"/>
                </v:shape>
              </w:pict>
            </w:r>
            <w:r w:rsidRPr="00A43F4D">
              <w:rPr>
                <w:rFonts w:eastAsia="Arial Unicode MS"/>
                <w:color w:val="333333"/>
                <w:sz w:val="18"/>
                <w:szCs w:val="18"/>
              </w:rPr>
              <w:fldChar w:fldCharType="end"/>
            </w:r>
          </w:p>
        </w:tc>
        <w:tc>
          <w:tcPr>
            <w:tcW w:w="4945" w:type="pct"/>
            <w:vAlign w:val="center"/>
            <w:hideMark/>
          </w:tcPr>
          <w:p w:rsidR="00AC1F28" w:rsidRPr="00A43F4D" w:rsidRDefault="00AC1F28" w:rsidP="00F57F1C">
            <w:pPr>
              <w:rPr>
                <w:rFonts w:eastAsia="Arial Unicode MS"/>
                <w:color w:val="333333"/>
                <w:sz w:val="21"/>
                <w:szCs w:val="21"/>
              </w:rPr>
            </w:pPr>
            <w:r w:rsidRPr="00A43F4D">
              <w:rPr>
                <w:rFonts w:eastAsia="Arial Unicode MS"/>
                <w:b/>
                <w:bCs/>
                <w:color w:val="333333"/>
                <w:sz w:val="21"/>
                <w:szCs w:val="21"/>
              </w:rPr>
              <w:t>By</w:t>
            </w:r>
            <w:r w:rsidRPr="00A43F4D">
              <w:rPr>
                <w:rFonts w:eastAsia="Arial Unicode MS"/>
                <w:color w:val="333333"/>
                <w:sz w:val="21"/>
                <w:szCs w:val="21"/>
              </w:rPr>
              <w:t xml:space="preserve"> : </w:t>
            </w:r>
            <w:hyperlink r:id="rId19" w:history="1">
              <w:r w:rsidRPr="00A43F4D">
                <w:rPr>
                  <w:rStyle w:val="Hyperlink"/>
                  <w:rFonts w:eastAsia="Arial Unicode MS"/>
                </w:rPr>
                <w:t>Joseph Jacobs</w:t>
              </w:r>
            </w:hyperlink>
            <w:r w:rsidRPr="00A43F4D">
              <w:rPr>
                <w:rFonts w:eastAsia="Arial Unicode MS"/>
                <w:color w:val="333333"/>
                <w:sz w:val="21"/>
                <w:szCs w:val="21"/>
              </w:rPr>
              <w:t xml:space="preserve">   </w:t>
            </w:r>
            <w:hyperlink r:id="rId20" w:history="1">
              <w:r w:rsidRPr="00A43F4D">
                <w:rPr>
                  <w:rStyle w:val="Hyperlink"/>
                  <w:rFonts w:eastAsia="Arial Unicode MS"/>
                </w:rPr>
                <w:t>Kaufmann Kohler</w:t>
              </w:r>
            </w:hyperlink>
            <w:r w:rsidRPr="00A43F4D">
              <w:rPr>
                <w:rFonts w:eastAsia="Arial Unicode MS"/>
                <w:color w:val="333333"/>
                <w:sz w:val="21"/>
                <w:szCs w:val="21"/>
              </w:rPr>
              <w:t xml:space="preserve">   </w:t>
            </w:r>
            <w:hyperlink r:id="rId21" w:history="1">
              <w:r w:rsidRPr="00A43F4D">
                <w:rPr>
                  <w:rStyle w:val="Hyperlink"/>
                  <w:rFonts w:eastAsia="Arial Unicode MS"/>
                </w:rPr>
                <w:t>Judah David Eisenstein</w:t>
              </w:r>
            </w:hyperlink>
            <w:r w:rsidRPr="00A43F4D">
              <w:rPr>
                <w:rFonts w:eastAsia="Arial Unicode MS"/>
                <w:color w:val="333333"/>
                <w:sz w:val="21"/>
                <w:szCs w:val="21"/>
              </w:rPr>
              <w:t xml:space="preserve">   </w:t>
            </w:r>
            <w:r w:rsidRPr="00A43F4D">
              <w:rPr>
                <w:rFonts w:eastAsia="Arial Unicode MS"/>
                <w:color w:val="333333"/>
                <w:sz w:val="21"/>
                <w:szCs w:val="21"/>
              </w:rPr>
              <w:br/>
            </w:r>
            <w:r w:rsidRPr="00A43F4D">
              <w:rPr>
                <w:rFonts w:eastAsia="Arial Unicode MS"/>
                <w:color w:val="333333"/>
                <w:sz w:val="21"/>
                <w:szCs w:val="21"/>
              </w:rPr>
              <w:br/>
              <w:t>Art, the working out of the laws of beauty in the construction of things, is regarded in the Bible as wisdom resulting from divine inspiration (Ex. xxxi. 1-6, xxxv. 30-35, xxxvi.-4), and is called in the Talmud "hokmah" (</w:t>
            </w:r>
            <w:r w:rsidRPr="00A43F4D">
              <w:rPr>
                <w:rFonts w:eastAsia="Arial Unicode MS"/>
                <w:i/>
                <w:iCs/>
                <w:color w:val="333333"/>
                <w:sz w:val="21"/>
                <w:szCs w:val="21"/>
              </w:rPr>
              <w:t>wisdom</w:t>
            </w:r>
            <w:r w:rsidRPr="00A43F4D">
              <w:rPr>
                <w:rFonts w:eastAsia="Arial Unicode MS"/>
                <w:color w:val="333333"/>
                <w:sz w:val="21"/>
                <w:szCs w:val="21"/>
              </w:rPr>
              <w:t>), in distinction from</w:t>
            </w:r>
            <w:r w:rsidRPr="00A43F4D">
              <w:rPr>
                <w:rFonts w:eastAsia="Arial Unicode MS"/>
                <w:i/>
                <w:iCs/>
                <w:color w:val="333333"/>
                <w:sz w:val="21"/>
                <w:szCs w:val="21"/>
              </w:rPr>
              <w:t>labor</w:t>
            </w:r>
            <w:r w:rsidRPr="00A43F4D">
              <w:rPr>
                <w:rFonts w:eastAsia="Arial Unicode MS"/>
                <w:color w:val="333333"/>
                <w:sz w:val="21"/>
                <w:szCs w:val="21"/>
              </w:rPr>
              <w:t xml:space="preserve"> (</w:t>
            </w:r>
            <w:r w:rsidRPr="00A43F4D">
              <w:rPr>
                <w:rFonts w:eastAsia="Arial Unicode MS"/>
                <w:color w:val="333333"/>
                <w:sz w:val="21"/>
                <w:szCs w:val="21"/>
              </w:rPr>
              <w:fldChar w:fldCharType="begin"/>
            </w:r>
            <w:r w:rsidRPr="00A43F4D">
              <w:rPr>
                <w:rFonts w:eastAsia="Arial Unicode MS"/>
                <w:color w:val="333333"/>
                <w:sz w:val="21"/>
                <w:szCs w:val="21"/>
              </w:rPr>
              <w:instrText xml:space="preserve"> INCLUDEPICTURE "http://www.jewishencyclopedia.com/volume2/V02p142001.jpg" \* MERGEFORMATINET </w:instrText>
            </w:r>
            <w:r w:rsidRPr="00A43F4D">
              <w:rPr>
                <w:rFonts w:eastAsia="Arial Unicode MS"/>
                <w:color w:val="333333"/>
                <w:sz w:val="21"/>
                <w:szCs w:val="21"/>
              </w:rPr>
              <w:fldChar w:fldCharType="separate"/>
            </w:r>
            <w:r w:rsidRPr="00A43F4D">
              <w:rPr>
                <w:rFonts w:eastAsia="Arial Unicode MS"/>
                <w:color w:val="333333"/>
                <w:sz w:val="21"/>
                <w:szCs w:val="21"/>
              </w:rPr>
              <w:pict>
                <v:shape id="_x0000_i1026" type="#_x0000_t75" alt="" style="width:75pt;height:12pt">
                  <v:imagedata r:id="rId22" r:href="rId23"/>
                </v:shape>
              </w:pict>
            </w:r>
            <w:r w:rsidRPr="00A43F4D">
              <w:rPr>
                <w:rFonts w:eastAsia="Arial Unicode MS"/>
                <w:color w:val="333333"/>
                <w:sz w:val="21"/>
                <w:szCs w:val="21"/>
              </w:rPr>
              <w:fldChar w:fldCharType="end"/>
            </w:r>
            <w:r w:rsidRPr="00A43F4D">
              <w:rPr>
                <w:rFonts w:eastAsia="Arial Unicode MS"/>
                <w:color w:val="333333"/>
                <w:sz w:val="21"/>
                <w:szCs w:val="21"/>
              </w:rPr>
              <w:t>, R. H. 29</w:t>
            </w:r>
            <w:r w:rsidRPr="00A43F4D">
              <w:rPr>
                <w:rFonts w:eastAsia="Arial Unicode MS"/>
                <w:i/>
                <w:iCs/>
                <w:color w:val="333333"/>
                <w:sz w:val="21"/>
                <w:szCs w:val="21"/>
              </w:rPr>
              <w:t>b</w:t>
            </w:r>
            <w:r w:rsidRPr="00A43F4D">
              <w:rPr>
                <w:rFonts w:eastAsia="Arial Unicode MS"/>
                <w:color w:val="333333"/>
                <w:sz w:val="21"/>
                <w:szCs w:val="21"/>
              </w:rPr>
              <w:t>; Shab. 131</w:t>
            </w:r>
            <w:r w:rsidRPr="00A43F4D">
              <w:rPr>
                <w:rFonts w:eastAsia="Arial Unicode MS"/>
                <w:i/>
                <w:iCs/>
                <w:color w:val="333333"/>
                <w:sz w:val="21"/>
                <w:szCs w:val="21"/>
              </w:rPr>
              <w:t>b</w:t>
            </w:r>
            <w:r w:rsidRPr="00A43F4D">
              <w:rPr>
                <w:rFonts w:eastAsia="Arial Unicode MS"/>
                <w:color w:val="333333"/>
                <w:sz w:val="21"/>
                <w:szCs w:val="21"/>
              </w:rPr>
              <w:t xml:space="preserve">). It is, however, somewhat incorrect to speak of Jewish art. Whether in Biblical or in post-Biblical times, Jewish workmanship was influenced, if not altogether guided, by non-Jewish art. Roman architecture was invoked in the building of Herod's Temple just as Phenician architecture was in the construction of those of Solomon and of Zerubbabel (I Kings vii. 13; Ezra iii. 7). Plastic art in general was discouraged by the Law; the prohibition of idols in the Decalogue (Ex. xx. 4) being in olden times applied to all images, whether they were made objects of worship or not (see Josephus, "Ant." xvii. 6, § 2; xviii. 3, § 1; </w:t>
            </w:r>
            <w:r w:rsidRPr="00A43F4D">
              <w:rPr>
                <w:rFonts w:eastAsia="Arial Unicode MS"/>
                <w:i/>
                <w:iCs/>
                <w:color w:val="333333"/>
                <w:sz w:val="21"/>
                <w:szCs w:val="21"/>
              </w:rPr>
              <w:t>ib.</w:t>
            </w:r>
            <w:r w:rsidRPr="00A43F4D">
              <w:rPr>
                <w:rFonts w:eastAsia="Arial Unicode MS"/>
                <w:color w:val="333333"/>
                <w:sz w:val="21"/>
                <w:szCs w:val="21"/>
              </w:rPr>
              <w:t xml:space="preserve"> "B. J." i. 33, § 2; ii. 9, § 2; 10, § 4). In accordance with this view the pious in Talmudical times even avoided gazing at the pictures engraved on Roman coins ('Ab. Zarah 50</w:t>
            </w:r>
            <w:r w:rsidRPr="00A43F4D">
              <w:rPr>
                <w:rFonts w:eastAsia="Arial Unicode MS"/>
                <w:i/>
                <w:iCs/>
                <w:color w:val="333333"/>
                <w:sz w:val="21"/>
                <w:szCs w:val="21"/>
              </w:rPr>
              <w:t>a</w:t>
            </w:r>
            <w:r w:rsidRPr="00A43F4D">
              <w:rPr>
                <w:rFonts w:eastAsia="Arial Unicode MS"/>
                <w:color w:val="333333"/>
                <w:sz w:val="21"/>
                <w:szCs w:val="21"/>
              </w:rPr>
              <w:t>; Pes. 104</w:t>
            </w:r>
            <w:r w:rsidRPr="00A43F4D">
              <w:rPr>
                <w:rFonts w:eastAsia="Arial Unicode MS"/>
                <w:i/>
                <w:iCs/>
                <w:color w:val="333333"/>
                <w:sz w:val="21"/>
                <w:szCs w:val="21"/>
              </w:rPr>
              <w:t>a</w:t>
            </w:r>
            <w:r w:rsidRPr="00A43F4D">
              <w:rPr>
                <w:rFonts w:eastAsia="Arial Unicode MS"/>
                <w:color w:val="333333"/>
                <w:sz w:val="21"/>
                <w:szCs w:val="21"/>
              </w:rPr>
              <w:t>; Yer. Meg. iii. 2 [74</w:t>
            </w:r>
            <w:r w:rsidRPr="00A43F4D">
              <w:rPr>
                <w:rFonts w:eastAsia="Arial Unicode MS"/>
                <w:i/>
                <w:iCs/>
                <w:color w:val="333333"/>
                <w:sz w:val="21"/>
                <w:szCs w:val="21"/>
              </w:rPr>
              <w:t>a</w:t>
            </w:r>
            <w:r w:rsidRPr="00A43F4D">
              <w:rPr>
                <w:rFonts w:eastAsia="Arial Unicode MS"/>
                <w:color w:val="333333"/>
                <w:sz w:val="21"/>
                <w:szCs w:val="21"/>
              </w:rPr>
              <w:t xml:space="preserve">]; Hippolytus, "Refutation of All Heresies," ix. 21). It is possible, however, that these figures formed an exception because they were, as a rule, representations of kings or emperors worshiped as gods by the Romans. </w:t>
            </w:r>
          </w:p>
          <w:p w:rsidR="00AC1F28" w:rsidRPr="00A43F4D" w:rsidRDefault="00AC1F28" w:rsidP="00F57F1C">
            <w:pPr>
              <w:pStyle w:val="NormalWeb"/>
              <w:rPr>
                <w:rFonts w:eastAsia="Arial Unicode MS"/>
                <w:color w:val="333333"/>
                <w:sz w:val="21"/>
                <w:szCs w:val="21"/>
              </w:rPr>
            </w:pPr>
            <w:bookmarkStart w:id="0" w:name="5552"/>
            <w:r w:rsidRPr="00A43F4D">
              <w:rPr>
                <w:rFonts w:eastAsia="Arial Unicode MS"/>
                <w:b/>
                <w:bCs/>
                <w:color w:val="333333"/>
                <w:sz w:val="21"/>
                <w:szCs w:val="21"/>
              </w:rPr>
              <w:t>Influence of Idolatry.</w:t>
            </w:r>
            <w:bookmarkEnd w:id="0"/>
            <w:r w:rsidRPr="00A43F4D">
              <w:rPr>
                <w:rFonts w:eastAsia="Arial Unicode MS"/>
                <w:color w:val="333333"/>
                <w:sz w:val="21"/>
                <w:szCs w:val="21"/>
              </w:rPr>
              <w:t xml:space="preserve"> </w:t>
            </w:r>
          </w:p>
          <w:p w:rsidR="00AC1F28" w:rsidRPr="00A43F4D" w:rsidRDefault="00AC1F28" w:rsidP="00F57F1C">
            <w:pPr>
              <w:pStyle w:val="NormalWeb"/>
              <w:rPr>
                <w:rFonts w:eastAsia="Arial Unicode MS"/>
                <w:color w:val="333333"/>
                <w:sz w:val="21"/>
                <w:szCs w:val="21"/>
              </w:rPr>
            </w:pPr>
            <w:r w:rsidRPr="00A43F4D">
              <w:rPr>
                <w:rFonts w:eastAsia="Arial Unicode MS"/>
                <w:color w:val="333333"/>
                <w:sz w:val="21"/>
                <w:szCs w:val="21"/>
              </w:rPr>
              <w:t>Rabbinical tradition, however, follows more rational rules in interpreting the law prohibiting images. Referring the law, Ex. xx. 23, "Ye shall not make with me gods of silver, neither shall ye make unto you gods of gold," to beings beheld by prophetic vision at the throne of God, or to anthropomorphic visions of God himself, the Rabbis forbade only the fashioning of the four figures of Ezekiel as a whole or of any other angelic being, and especially the making of human figures, as these might be made objects of worship (Mek., Yitro, x.; 'Ab Zarah 42</w:t>
            </w:r>
            <w:r w:rsidRPr="00A43F4D">
              <w:rPr>
                <w:rFonts w:eastAsia="Arial Unicode MS"/>
                <w:i/>
                <w:iCs/>
                <w:color w:val="333333"/>
                <w:sz w:val="21"/>
                <w:szCs w:val="21"/>
              </w:rPr>
              <w:t>b</w:t>
            </w:r>
            <w:r w:rsidRPr="00A43F4D">
              <w:rPr>
                <w:rFonts w:eastAsia="Arial Unicode MS"/>
                <w:color w:val="333333"/>
                <w:sz w:val="21"/>
                <w:szCs w:val="21"/>
              </w:rPr>
              <w:t>, 43</w:t>
            </w:r>
            <w:r w:rsidRPr="00A43F4D">
              <w:rPr>
                <w:rFonts w:eastAsia="Arial Unicode MS"/>
                <w:i/>
                <w:iCs/>
                <w:color w:val="333333"/>
                <w:sz w:val="21"/>
                <w:szCs w:val="21"/>
              </w:rPr>
              <w:t>b</w:t>
            </w:r>
            <w:r w:rsidRPr="00A43F4D">
              <w:rPr>
                <w:rFonts w:eastAsia="Arial Unicode MS"/>
                <w:color w:val="333333"/>
                <w:sz w:val="21"/>
                <w:szCs w:val="21"/>
              </w:rPr>
              <w:t>). In view, however, of the fact that only carved figures or statues were, as a rule, objects of worship, the prohibition was not applied to images not projecting ('Ab. Zarah 43</w:t>
            </w:r>
            <w:r w:rsidRPr="00A43F4D">
              <w:rPr>
                <w:rFonts w:eastAsia="Arial Unicode MS"/>
                <w:i/>
                <w:iCs/>
                <w:color w:val="333333"/>
                <w:sz w:val="21"/>
                <w:szCs w:val="21"/>
              </w:rPr>
              <w:t>b</w:t>
            </w:r>
            <w:r w:rsidRPr="00A43F4D">
              <w:rPr>
                <w:rFonts w:eastAsia="Arial Unicode MS"/>
                <w:color w:val="333333"/>
                <w:sz w:val="21"/>
                <w:szCs w:val="21"/>
              </w:rPr>
              <w:t xml:space="preserve">). Portrait-painting, therefore, was never forbidden by the Law. As a matter of fact, far more potent than the Law was the spirit of the Jewish faith in putting a check on plastic art. In the same measure as polytheism, whether Semitic or Aryan, greatly aided in developing art as far as it endeavored to bring the deity in ever more beautiful form before the eye of the worshiper, Judaism was determined to lift God above the realm of the sensual and corporeal and to represent Him as Spirit only. In particular, the lewdness of the Astarte worship, which still exerted its evil influence in postexilic times (Isa. lvii. 3 </w:t>
            </w:r>
            <w:r w:rsidRPr="00A43F4D">
              <w:rPr>
                <w:rFonts w:eastAsia="Arial Unicode MS"/>
                <w:i/>
                <w:iCs/>
                <w:color w:val="333333"/>
                <w:sz w:val="21"/>
                <w:szCs w:val="21"/>
              </w:rPr>
              <w:t>et seq.</w:t>
            </w:r>
            <w:r w:rsidRPr="00A43F4D">
              <w:rPr>
                <w:rFonts w:eastAsia="Arial Unicode MS"/>
                <w:color w:val="333333"/>
                <w:sz w:val="21"/>
                <w:szCs w:val="21"/>
              </w:rPr>
              <w:t>), offended the Jewish sense of chastity, so that idolatry was termed "to go a whoring" (Num. xv. 39; Hosea i. 2, and elsewhere). Nor was the Syrian or the Greco-Roman idolatry any purer in the judgment of the Rabbis, as may be learned from 'Ab. Zarah ii. 1, where it is stated that the heathen in Mishnaic times were still suspected of sexual intercourse with beasts. They saw too often in artistic beauty the means of moral depravation, and insisted, therefore, on the mutilation or destruction of every idol (</w:t>
            </w:r>
            <w:r w:rsidRPr="00A43F4D">
              <w:rPr>
                <w:rFonts w:eastAsia="Arial Unicode MS"/>
                <w:i/>
                <w:iCs/>
                <w:color w:val="333333"/>
                <w:sz w:val="21"/>
                <w:szCs w:val="21"/>
              </w:rPr>
              <w:t>ib.</w:t>
            </w:r>
            <w:r w:rsidRPr="00A43F4D">
              <w:rPr>
                <w:rFonts w:eastAsia="Arial Unicode MS"/>
                <w:color w:val="333333"/>
                <w:sz w:val="21"/>
                <w:szCs w:val="21"/>
              </w:rPr>
              <w:t xml:space="preserve"> iv. 5). And whatever the Church did during the Middle Ages toward developing art, in the eyes of Judaism the images of Jesus and the Virgin, of the apostles and the saints, presented a relapse into pagan idolatry, warning </w:t>
            </w:r>
            <w:r w:rsidRPr="00A43F4D">
              <w:rPr>
                <w:rFonts w:eastAsia="Arial Unicode MS"/>
                <w:color w:val="333333"/>
                <w:sz w:val="21"/>
                <w:szCs w:val="21"/>
              </w:rPr>
              <w:lastRenderedPageBreak/>
              <w:t>the Jew all the more strongly against the cultivation of the plastic arts, since both the making of or the trading with any such images as might be used for the Christian cult was forbidden (Shul</w:t>
            </w:r>
            <w:r w:rsidRPr="00A43F4D">
              <w:rPr>
                <w:rFonts w:eastAsia="Arial Unicode MS" w:hAnsi="Arial Unicode MS"/>
                <w:color w:val="333333"/>
                <w:sz w:val="21"/>
                <w:szCs w:val="21"/>
              </w:rPr>
              <w:t>Ḧ</w:t>
            </w:r>
            <w:r w:rsidRPr="00A43F4D">
              <w:rPr>
                <w:rFonts w:eastAsia="Arial Unicode MS"/>
                <w:color w:val="333333"/>
                <w:sz w:val="21"/>
                <w:szCs w:val="21"/>
              </w:rPr>
              <w:t xml:space="preserve">an 'Aruk, Yoreh De'ah, 141, 3). In all probability the extensive use made by the Church of symbolic figures caused the Jew to shun applying them. </w:t>
            </w:r>
          </w:p>
          <w:p w:rsidR="00AC1F28" w:rsidRPr="00A43F4D" w:rsidRDefault="00AC1F28" w:rsidP="00F57F1C">
            <w:pPr>
              <w:pStyle w:val="NormalWeb"/>
              <w:rPr>
                <w:rFonts w:eastAsia="Arial Unicode MS"/>
                <w:color w:val="333333"/>
                <w:sz w:val="21"/>
                <w:szCs w:val="21"/>
              </w:rPr>
            </w:pPr>
            <w:bookmarkStart w:id="1" w:name="5553"/>
            <w:r w:rsidRPr="00A43F4D">
              <w:rPr>
                <w:rFonts w:eastAsia="Arial Unicode MS"/>
                <w:b/>
                <w:bCs/>
                <w:color w:val="333333"/>
                <w:sz w:val="21"/>
                <w:szCs w:val="21"/>
              </w:rPr>
              <w:t>In the Middle Ages.</w:t>
            </w:r>
            <w:bookmarkEnd w:id="1"/>
            <w:r w:rsidRPr="00A43F4D">
              <w:rPr>
                <w:rFonts w:eastAsia="Arial Unicode MS"/>
                <w:color w:val="333333"/>
                <w:sz w:val="21"/>
                <w:szCs w:val="21"/>
              </w:rPr>
              <w:t xml:space="preserve"> </w:t>
            </w:r>
          </w:p>
          <w:p w:rsidR="00AC1F28" w:rsidRPr="00A43F4D" w:rsidRDefault="00AC1F28" w:rsidP="00F57F1C">
            <w:pPr>
              <w:pStyle w:val="NormalWeb"/>
              <w:rPr>
                <w:rFonts w:eastAsia="Arial Unicode MS"/>
                <w:color w:val="333333"/>
                <w:sz w:val="21"/>
                <w:szCs w:val="21"/>
              </w:rPr>
            </w:pPr>
            <w:r w:rsidRPr="00A43F4D">
              <w:rPr>
                <w:rFonts w:eastAsia="Arial Unicode MS"/>
                <w:color w:val="333333"/>
                <w:sz w:val="21"/>
                <w:szCs w:val="21"/>
              </w:rPr>
              <w:t xml:space="preserve">Still, both ecclesiastical and secular art existed to some extent among the Jews of the Middle Ages. While it was a rule not to decorate the walls of the synagogue with figures, lest the devotion of the worshiper should be distracted by the sight, the doors of the synagogue and the Ark were frequently ornamented with representations of animals (among which the lion was a favorite subject), occasionally also of birds and snakes, and of plants (such as flowers, vines, and the like). In all cases where fear of idolatrous worship by non-Jews was excluded, liberal-minded rabbis saw no reason for prohibiting such ornamentation, whereas rigorists would discourage it altogether (see Berliner, "Aus dem Inneren Leben der Deutschen Juden im Mittelalter," p. 117; D. Kaufmann, in "Jew. Quart. Rev." ix. 254 </w:t>
            </w:r>
            <w:r w:rsidRPr="00A43F4D">
              <w:rPr>
                <w:rFonts w:eastAsia="Arial Unicode MS"/>
                <w:i/>
                <w:iCs/>
                <w:color w:val="333333"/>
                <w:sz w:val="21"/>
                <w:szCs w:val="21"/>
              </w:rPr>
              <w:t>et seq.</w:t>
            </w:r>
            <w:r w:rsidRPr="00A43F4D">
              <w:rPr>
                <w:rFonts w:eastAsia="Arial Unicode MS"/>
                <w:color w:val="333333"/>
                <w:sz w:val="21"/>
                <w:szCs w:val="21"/>
              </w:rPr>
              <w:t xml:space="preserve">; Abrahams, "Jewish Life in the Middle Ages," p. 29). </w:t>
            </w:r>
          </w:p>
          <w:p w:rsidR="00AC1F28" w:rsidRPr="00A43F4D" w:rsidRDefault="00AC1F28" w:rsidP="00F57F1C">
            <w:pPr>
              <w:pStyle w:val="NormalWeb"/>
              <w:rPr>
                <w:rFonts w:eastAsia="Arial Unicode MS"/>
                <w:color w:val="333333"/>
                <w:sz w:val="21"/>
                <w:szCs w:val="21"/>
              </w:rPr>
            </w:pPr>
            <w:r w:rsidRPr="00A43F4D">
              <w:rPr>
                <w:rFonts w:eastAsia="Arial Unicode MS"/>
                <w:color w:val="333333"/>
                <w:sz w:val="21"/>
                <w:szCs w:val="21"/>
              </w:rPr>
              <w:t xml:space="preserve">Of home utensils, cups and lamps used for Sabbath and festival days were occasionally, despite the opinion of rabbinical authorities, embossed with figured designs. Platters painted and inlaid, tablecovers embroidered with golden birds and fishes, wooden vessels edged and figured, were in common use (Abrahams, </w:t>
            </w:r>
            <w:r w:rsidRPr="00A43F4D">
              <w:rPr>
                <w:rFonts w:eastAsia="Arial Unicode MS"/>
                <w:i/>
                <w:iCs/>
                <w:color w:val="333333"/>
                <w:sz w:val="21"/>
                <w:szCs w:val="21"/>
              </w:rPr>
              <w:t>l.c.</w:t>
            </w:r>
            <w:r w:rsidRPr="00A43F4D">
              <w:rPr>
                <w:rFonts w:eastAsia="Arial Unicode MS"/>
                <w:color w:val="333333"/>
                <w:sz w:val="21"/>
                <w:szCs w:val="21"/>
              </w:rPr>
              <w:t xml:space="preserve"> p. 146). The walls of the houses of the rich were sometimes decorated with paintings of Old Testament scenes, and on the outside secular subjects were portrayed (Berliner, </w:t>
            </w:r>
            <w:r w:rsidRPr="00A43F4D">
              <w:rPr>
                <w:rFonts w:eastAsia="Arial Unicode MS"/>
                <w:i/>
                <w:iCs/>
                <w:color w:val="333333"/>
                <w:sz w:val="21"/>
                <w:szCs w:val="21"/>
              </w:rPr>
              <w:t>l.c.</w:t>
            </w:r>
            <w:r w:rsidRPr="00A43F4D">
              <w:rPr>
                <w:rFonts w:eastAsia="Arial Unicode MS"/>
                <w:color w:val="333333"/>
                <w:sz w:val="21"/>
                <w:szCs w:val="21"/>
              </w:rPr>
              <w:t xml:space="preserve"> p. 35; Abrahams, </w:t>
            </w:r>
            <w:r w:rsidRPr="00A43F4D">
              <w:rPr>
                <w:rFonts w:eastAsia="Arial Unicode MS"/>
                <w:i/>
                <w:iCs/>
                <w:color w:val="333333"/>
                <w:sz w:val="21"/>
                <w:szCs w:val="21"/>
              </w:rPr>
              <w:t>ib.</w:t>
            </w:r>
            <w:r w:rsidRPr="00A43F4D">
              <w:rPr>
                <w:rFonts w:eastAsia="Arial Unicode MS"/>
                <w:color w:val="333333"/>
                <w:sz w:val="21"/>
                <w:szCs w:val="21"/>
              </w:rPr>
              <w:t xml:space="preserve">). Portrait-painting, though not common, was not unknown among the Jews of Germany in the eighteenth century; while in Italy it existed as early as the fifteenth century. Especially was the illumination of manuscripts and the artistic binding of books carried to great proficiency by Jews, who probably acquired the art from the monks (Abrahams, </w:t>
            </w:r>
            <w:r w:rsidRPr="00A43F4D">
              <w:rPr>
                <w:rFonts w:eastAsia="Arial Unicode MS"/>
                <w:i/>
                <w:iCs/>
                <w:color w:val="333333"/>
                <w:sz w:val="21"/>
                <w:szCs w:val="21"/>
              </w:rPr>
              <w:t>l.c.</w:t>
            </w:r>
            <w:r w:rsidRPr="00A43F4D">
              <w:rPr>
                <w:rFonts w:eastAsia="Arial Unicode MS"/>
                <w:color w:val="333333"/>
                <w:sz w:val="21"/>
                <w:szCs w:val="21"/>
              </w:rPr>
              <w:t xml:space="preserve"> p. 220). According to Lecky "(Rationalism in Europe," ii. 237, note 2), many of the goldsmiths of Venice who cultivated the art of carving were Jews. Of recent years greater attention has been paid to the subject of Jewish ecclesiastical art, especially since the Anglo-Jewish Historical Exhibition of 1887. Societies have been founded at Vienna, Hamburg, and Frankfort-on-the-Main devoted to the collection and study of artistic objects used in Jewish acts of worship, whether in the synagogue or the home. In bibliography, also, attention is now being paid to titlepages, illustrations, initials, and the like, in which Jewish taste has had an influence. </w:t>
            </w:r>
          </w:p>
          <w:p w:rsidR="00AC1F28" w:rsidRPr="00A43F4D" w:rsidRDefault="00AC1F28" w:rsidP="00F57F1C">
            <w:pPr>
              <w:pStyle w:val="NormalWeb"/>
              <w:rPr>
                <w:rFonts w:eastAsia="Arial Unicode MS"/>
                <w:color w:val="333333"/>
                <w:sz w:val="21"/>
                <w:szCs w:val="21"/>
              </w:rPr>
            </w:pPr>
            <w:r w:rsidRPr="00A43F4D">
              <w:rPr>
                <w:rFonts w:eastAsia="Arial Unicode MS"/>
                <w:color w:val="333333"/>
                <w:sz w:val="21"/>
                <w:szCs w:val="21"/>
              </w:rPr>
              <w:t xml:space="preserve">Modern Jewish art no longer bears the specific character of the Jewish genius, but must be classified among the various nations to which the Jewish artists belong. </w:t>
            </w:r>
            <w:hyperlink r:id="rId24" w:history="1">
              <w:r w:rsidRPr="00A43F4D">
                <w:rPr>
                  <w:rStyle w:val="Hyperlink"/>
                  <w:rFonts w:eastAsia="Arial Unicode MS"/>
                  <w:sz w:val="21"/>
                  <w:szCs w:val="21"/>
                </w:rPr>
                <w:t>See America, Architecture in;</w:t>
              </w:r>
            </w:hyperlink>
            <w:r w:rsidRPr="00A43F4D">
              <w:rPr>
                <w:rFonts w:eastAsia="Arial Unicode MS"/>
                <w:color w:val="333333"/>
                <w:sz w:val="21"/>
                <w:szCs w:val="21"/>
              </w:rPr>
              <w:t xml:space="preserve"> </w:t>
            </w:r>
            <w:hyperlink r:id="rId25" w:history="1">
              <w:r w:rsidRPr="00A43F4D">
                <w:rPr>
                  <w:rStyle w:val="Hyperlink"/>
                  <w:rFonts w:eastAsia="Arial Unicode MS"/>
                  <w:sz w:val="21"/>
                  <w:szCs w:val="21"/>
                </w:rPr>
                <w:t>Almemar;</w:t>
              </w:r>
            </w:hyperlink>
            <w:r w:rsidRPr="00A43F4D">
              <w:rPr>
                <w:rFonts w:eastAsia="Arial Unicode MS"/>
                <w:color w:val="333333"/>
                <w:sz w:val="21"/>
                <w:szCs w:val="21"/>
              </w:rPr>
              <w:t xml:space="preserve"> </w:t>
            </w:r>
            <w:hyperlink r:id="rId26" w:history="1">
              <w:r w:rsidRPr="00A43F4D">
                <w:rPr>
                  <w:rStyle w:val="Hyperlink"/>
                  <w:rFonts w:eastAsia="Arial Unicode MS"/>
                  <w:sz w:val="21"/>
                  <w:szCs w:val="21"/>
                </w:rPr>
                <w:t>Ark;</w:t>
              </w:r>
            </w:hyperlink>
            <w:r w:rsidRPr="00A43F4D">
              <w:rPr>
                <w:rFonts w:eastAsia="Arial Unicode MS"/>
                <w:color w:val="333333"/>
                <w:sz w:val="21"/>
                <w:szCs w:val="21"/>
              </w:rPr>
              <w:t xml:space="preserve"> Cemetery; </w:t>
            </w:r>
            <w:hyperlink r:id="rId27" w:history="1">
              <w:r w:rsidRPr="00A43F4D">
                <w:rPr>
                  <w:rStyle w:val="Hyperlink"/>
                  <w:rFonts w:eastAsia="Arial Unicode MS"/>
                  <w:sz w:val="21"/>
                  <w:szCs w:val="21"/>
                </w:rPr>
                <w:t>Numismatics;</w:t>
              </w:r>
            </w:hyperlink>
            <w:r w:rsidRPr="00A43F4D">
              <w:rPr>
                <w:rFonts w:eastAsia="Arial Unicode MS"/>
                <w:color w:val="333333"/>
                <w:sz w:val="21"/>
                <w:szCs w:val="21"/>
              </w:rPr>
              <w:t xml:space="preserve"> </w:t>
            </w:r>
            <w:hyperlink r:id="rId28" w:history="1">
              <w:r w:rsidRPr="00A43F4D">
                <w:rPr>
                  <w:rStyle w:val="Hyperlink"/>
                  <w:rFonts w:eastAsia="Arial Unicode MS"/>
                  <w:sz w:val="21"/>
                  <w:szCs w:val="21"/>
                </w:rPr>
                <w:t>Megillah;</w:t>
              </w:r>
            </w:hyperlink>
            <w:r w:rsidRPr="00A43F4D">
              <w:rPr>
                <w:rFonts w:eastAsia="Arial Unicode MS"/>
                <w:color w:val="333333"/>
                <w:sz w:val="21"/>
                <w:szCs w:val="21"/>
              </w:rPr>
              <w:t xml:space="preserve"> </w:t>
            </w:r>
            <w:hyperlink r:id="rId29" w:history="1">
              <w:r w:rsidRPr="00A43F4D">
                <w:rPr>
                  <w:rStyle w:val="Hyperlink"/>
                  <w:rFonts w:eastAsia="Arial Unicode MS"/>
                  <w:sz w:val="21"/>
                  <w:szCs w:val="21"/>
                </w:rPr>
                <w:t>Scroll of the Law;</w:t>
              </w:r>
            </w:hyperlink>
            <w:r w:rsidRPr="00A43F4D">
              <w:rPr>
                <w:rFonts w:eastAsia="Arial Unicode MS"/>
                <w:color w:val="333333"/>
                <w:sz w:val="21"/>
                <w:szCs w:val="21"/>
              </w:rPr>
              <w:t xml:space="preserve"> </w:t>
            </w:r>
            <w:hyperlink r:id="rId30" w:history="1">
              <w:r w:rsidRPr="00A43F4D">
                <w:rPr>
                  <w:rStyle w:val="Hyperlink"/>
                  <w:rFonts w:eastAsia="Arial Unicode MS"/>
                  <w:sz w:val="21"/>
                  <w:szCs w:val="21"/>
                </w:rPr>
                <w:t>Synagogue.</w:t>
              </w:r>
            </w:hyperlink>
            <w:r w:rsidRPr="00A43F4D">
              <w:rPr>
                <w:rFonts w:eastAsia="Arial Unicode MS"/>
                <w:color w:val="333333"/>
                <w:sz w:val="21"/>
                <w:szCs w:val="21"/>
              </w:rPr>
              <w:br/>
            </w:r>
            <w:r w:rsidRPr="00A43F4D">
              <w:rPr>
                <w:rFonts w:eastAsia="Arial Unicode MS"/>
                <w:color w:val="333333"/>
                <w:sz w:val="21"/>
                <w:szCs w:val="21"/>
              </w:rPr>
              <w:br/>
            </w:r>
            <w:r w:rsidRPr="00A43F4D">
              <w:rPr>
                <w:rStyle w:val="biblio1"/>
                <w:rFonts w:eastAsia="Arial Unicode MS"/>
                <w:color w:val="333333"/>
              </w:rPr>
              <w:t xml:space="preserve">Bibliography: David Kaufmann, </w:t>
            </w:r>
            <w:r w:rsidRPr="00A43F4D">
              <w:rPr>
                <w:rStyle w:val="biblio1"/>
                <w:rFonts w:eastAsia="Arial Unicode MS"/>
                <w:i/>
                <w:iCs/>
                <w:color w:val="333333"/>
              </w:rPr>
              <w:t>Zur Gesch. der Kunst</w:t>
            </w:r>
            <w:r w:rsidRPr="00A43F4D">
              <w:rPr>
                <w:rStyle w:val="biblio1"/>
                <w:rFonts w:eastAsia="Arial Unicode MS"/>
                <w:color w:val="333333"/>
              </w:rPr>
              <w:t xml:space="preserve"> in </w:t>
            </w:r>
            <w:r w:rsidRPr="00A43F4D">
              <w:rPr>
                <w:rStyle w:val="biblio1"/>
                <w:rFonts w:eastAsia="Arial Unicode MS"/>
                <w:i/>
                <w:iCs/>
                <w:color w:val="333333"/>
              </w:rPr>
              <w:t>Synagogen, in Erster Jahresbericht der Gesellschaft für Sammlang von Kunstdenkmäler des Judenthums</w:t>
            </w:r>
            <w:r w:rsidRPr="00A43F4D">
              <w:rPr>
                <w:rStyle w:val="biblio1"/>
                <w:rFonts w:eastAsia="Arial Unicode MS"/>
                <w:color w:val="333333"/>
              </w:rPr>
              <w:t>, Vienna, 1897;</w:t>
            </w:r>
            <w:r w:rsidRPr="00A43F4D">
              <w:rPr>
                <w:rFonts w:eastAsia="Arial Unicode MS"/>
                <w:color w:val="333333"/>
                <w:sz w:val="21"/>
                <w:szCs w:val="21"/>
              </w:rPr>
              <w:t xml:space="preserve"> </w:t>
            </w:r>
            <w:r w:rsidRPr="00A43F4D">
              <w:rPr>
                <w:rFonts w:eastAsia="Arial Unicode MS"/>
                <w:color w:val="333333"/>
                <w:sz w:val="21"/>
                <w:szCs w:val="21"/>
              </w:rPr>
              <w:br/>
            </w:r>
            <w:r w:rsidRPr="00A43F4D">
              <w:rPr>
                <w:rStyle w:val="biblio1"/>
                <w:rFonts w:eastAsia="Arial Unicode MS"/>
                <w:color w:val="333333"/>
              </w:rPr>
              <w:t xml:space="preserve">M. Güdemann, </w:t>
            </w:r>
            <w:r w:rsidRPr="00A43F4D">
              <w:rPr>
                <w:rStyle w:val="biblio1"/>
                <w:rFonts w:eastAsia="Arial Unicode MS"/>
                <w:i/>
                <w:iCs/>
                <w:color w:val="333333"/>
              </w:rPr>
              <w:t>Das Judenthum und die Bildenden Künste, in Zweiter Jahresbericht</w:t>
            </w:r>
            <w:r w:rsidRPr="00A43F4D">
              <w:rPr>
                <w:rStyle w:val="biblio1"/>
                <w:rFonts w:eastAsia="Arial Unicode MS"/>
                <w:color w:val="333333"/>
              </w:rPr>
              <w:t>, ib. 1898;</w:t>
            </w:r>
            <w:r w:rsidRPr="00A43F4D">
              <w:rPr>
                <w:rFonts w:eastAsia="Arial Unicode MS"/>
                <w:color w:val="333333"/>
                <w:sz w:val="21"/>
                <w:szCs w:val="21"/>
              </w:rPr>
              <w:t xml:space="preserve"> </w:t>
            </w:r>
            <w:r w:rsidRPr="00A43F4D">
              <w:rPr>
                <w:rFonts w:eastAsia="Arial Unicode MS"/>
                <w:color w:val="333333"/>
                <w:sz w:val="21"/>
                <w:szCs w:val="21"/>
              </w:rPr>
              <w:br/>
            </w:r>
            <w:r w:rsidRPr="00A43F4D">
              <w:rPr>
                <w:rStyle w:val="biblio1"/>
                <w:rFonts w:eastAsia="Arial Unicode MS"/>
                <w:color w:val="333333"/>
              </w:rPr>
              <w:t>Schudt,</w:t>
            </w:r>
            <w:r w:rsidRPr="00A43F4D">
              <w:rPr>
                <w:rStyle w:val="biblio1"/>
                <w:rFonts w:eastAsia="Arial Unicode MS"/>
                <w:i/>
                <w:iCs/>
                <w:color w:val="333333"/>
              </w:rPr>
              <w:t>Jüdische Merkwürdigkeiten</w:t>
            </w:r>
            <w:r w:rsidRPr="00A43F4D">
              <w:rPr>
                <w:rStyle w:val="biblio1"/>
                <w:rFonts w:eastAsia="Arial Unicode MS"/>
                <w:color w:val="333333"/>
              </w:rPr>
              <w:t xml:space="preserve">, i. 252 </w:t>
            </w:r>
            <w:r w:rsidRPr="00A43F4D">
              <w:rPr>
                <w:rStyle w:val="biblio1"/>
                <w:rFonts w:eastAsia="Arial Unicode MS"/>
                <w:i/>
                <w:iCs/>
                <w:color w:val="333333"/>
              </w:rPr>
              <w:t>et seq.</w:t>
            </w:r>
            <w:r w:rsidRPr="00A43F4D">
              <w:rPr>
                <w:rStyle w:val="biblio1"/>
                <w:rFonts w:eastAsia="Arial Unicode MS"/>
                <w:color w:val="333333"/>
              </w:rPr>
              <w:t>;</w:t>
            </w:r>
            <w:r w:rsidRPr="00A43F4D">
              <w:rPr>
                <w:rFonts w:eastAsia="Arial Unicode MS"/>
                <w:color w:val="333333"/>
                <w:sz w:val="21"/>
                <w:szCs w:val="21"/>
              </w:rPr>
              <w:t xml:space="preserve"> </w:t>
            </w:r>
            <w:r w:rsidRPr="00A43F4D">
              <w:rPr>
                <w:rFonts w:eastAsia="Arial Unicode MS"/>
                <w:color w:val="333333"/>
                <w:sz w:val="21"/>
                <w:szCs w:val="21"/>
              </w:rPr>
              <w:br/>
            </w:r>
            <w:r w:rsidRPr="00A43F4D">
              <w:rPr>
                <w:rStyle w:val="biblio1"/>
                <w:rFonts w:eastAsia="Arial Unicode MS"/>
                <w:color w:val="333333"/>
              </w:rPr>
              <w:t xml:space="preserve">A. Freimann, </w:t>
            </w:r>
            <w:r w:rsidRPr="00A43F4D">
              <w:rPr>
                <w:rStyle w:val="biblio1"/>
                <w:rFonts w:eastAsia="Arial Unicode MS"/>
                <w:i/>
                <w:iCs/>
                <w:color w:val="333333"/>
              </w:rPr>
              <w:t>Die Abtheilung der Isr. Ritualgegenstände im Städt. Histor. Museum zu Frankfurt-am-Main</w:t>
            </w:r>
            <w:r w:rsidRPr="00A43F4D">
              <w:rPr>
                <w:rStyle w:val="biblio1"/>
                <w:rFonts w:eastAsia="Arial Unicode MS"/>
                <w:color w:val="333333"/>
              </w:rPr>
              <w:t xml:space="preserve"> (privately printed, 1900);</w:t>
            </w:r>
            <w:r w:rsidRPr="00A43F4D">
              <w:rPr>
                <w:rFonts w:eastAsia="Arial Unicode MS"/>
                <w:color w:val="333333"/>
                <w:sz w:val="21"/>
                <w:szCs w:val="21"/>
              </w:rPr>
              <w:t xml:space="preserve"> </w:t>
            </w:r>
            <w:r w:rsidRPr="00A43F4D">
              <w:rPr>
                <w:rFonts w:eastAsia="Arial Unicode MS"/>
                <w:color w:val="333333"/>
                <w:sz w:val="21"/>
                <w:szCs w:val="21"/>
              </w:rPr>
              <w:br/>
            </w:r>
            <w:r w:rsidRPr="00A43F4D">
              <w:rPr>
                <w:rStyle w:val="biblio1"/>
                <w:rFonts w:eastAsia="Arial Unicode MS"/>
                <w:color w:val="333333"/>
              </w:rPr>
              <w:t xml:space="preserve">S. J. Solomon, </w:t>
            </w:r>
            <w:r w:rsidRPr="00A43F4D">
              <w:rPr>
                <w:rStyle w:val="biblio1"/>
                <w:rFonts w:eastAsia="Arial Unicode MS"/>
                <w:i/>
                <w:iCs/>
                <w:color w:val="333333"/>
              </w:rPr>
              <w:t xml:space="preserve">Art and Judaism, in Jew. </w:t>
            </w:r>
            <w:r w:rsidRPr="00AC1F28">
              <w:rPr>
                <w:rStyle w:val="biblio1"/>
                <w:rFonts w:eastAsia="Arial Unicode MS"/>
                <w:i/>
                <w:iCs/>
                <w:color w:val="333333"/>
                <w:lang w:val="fr-FR"/>
              </w:rPr>
              <w:t>Quart. Rev.</w:t>
            </w:r>
            <w:r w:rsidRPr="00AC1F28">
              <w:rPr>
                <w:rStyle w:val="biblio1"/>
                <w:rFonts w:eastAsia="Arial Unicode MS"/>
                <w:color w:val="333333"/>
                <w:lang w:val="fr-FR"/>
              </w:rPr>
              <w:t xml:space="preserve"> xiii. 553-566;</w:t>
            </w:r>
            <w:r w:rsidRPr="00AC1F28">
              <w:rPr>
                <w:rFonts w:eastAsia="Arial Unicode MS"/>
                <w:color w:val="333333"/>
                <w:sz w:val="21"/>
                <w:szCs w:val="21"/>
                <w:lang w:val="fr-FR"/>
              </w:rPr>
              <w:t xml:space="preserve"> </w:t>
            </w:r>
            <w:r w:rsidRPr="00AC1F28">
              <w:rPr>
                <w:rFonts w:eastAsia="Arial Unicode MS"/>
                <w:color w:val="333333"/>
                <w:sz w:val="21"/>
                <w:szCs w:val="21"/>
                <w:lang w:val="fr-FR"/>
              </w:rPr>
              <w:br/>
            </w:r>
            <w:r w:rsidRPr="00AC1F28">
              <w:rPr>
                <w:rStyle w:val="biblio1"/>
                <w:rFonts w:eastAsia="Arial Unicode MS"/>
                <w:color w:val="333333"/>
                <w:lang w:val="fr-FR"/>
              </w:rPr>
              <w:t xml:space="preserve">D. H. Müller, </w:t>
            </w:r>
            <w:r w:rsidRPr="00AC1F28">
              <w:rPr>
                <w:rStyle w:val="biblio1"/>
                <w:rFonts w:eastAsia="Arial Unicode MS"/>
                <w:i/>
                <w:iCs/>
                <w:color w:val="333333"/>
                <w:lang w:val="fr-FR"/>
              </w:rPr>
              <w:t>Die Hagada von Serajevo</w:t>
            </w:r>
            <w:r w:rsidRPr="00AC1F28">
              <w:rPr>
                <w:rStyle w:val="biblio1"/>
                <w:rFonts w:eastAsia="Arial Unicode MS"/>
                <w:color w:val="333333"/>
                <w:lang w:val="fr-FR"/>
              </w:rPr>
              <w:t>.</w:t>
            </w:r>
            <w:r w:rsidRPr="00AC1F28">
              <w:rPr>
                <w:rStyle w:val="artauthor1"/>
                <w:rFonts w:eastAsia="Arial Unicode MS"/>
                <w:color w:val="333333"/>
                <w:lang w:val="fr-FR"/>
              </w:rPr>
              <w:t>J.</w:t>
            </w:r>
            <w:r w:rsidRPr="00AC1F28">
              <w:rPr>
                <w:rFonts w:eastAsia="Arial Unicode MS"/>
                <w:color w:val="333333"/>
                <w:sz w:val="21"/>
                <w:szCs w:val="21"/>
                <w:lang w:val="fr-FR"/>
              </w:rPr>
              <w:t xml:space="preserve"> </w:t>
            </w:r>
            <w:r w:rsidRPr="00AC1F28">
              <w:rPr>
                <w:rStyle w:val="artauthor1"/>
                <w:rFonts w:eastAsia="Arial Unicode MS"/>
                <w:color w:val="333333"/>
                <w:lang w:val="fr-FR"/>
              </w:rPr>
              <w:t>K.</w:t>
            </w:r>
            <w:bookmarkStart w:id="2" w:name="0"/>
            <w:r w:rsidRPr="00AC1F28">
              <w:rPr>
                <w:rFonts w:eastAsia="Arial Unicode MS"/>
                <w:color w:val="333333"/>
                <w:sz w:val="18"/>
                <w:szCs w:val="18"/>
                <w:lang w:val="fr-FR"/>
              </w:rPr>
              <w:br/>
            </w:r>
            <w:r w:rsidRPr="00AC1F28">
              <w:rPr>
                <w:rFonts w:eastAsia="Arial Unicode MS"/>
                <w:color w:val="333333"/>
                <w:sz w:val="18"/>
                <w:szCs w:val="18"/>
                <w:lang w:val="fr-FR"/>
              </w:rPr>
              <w:br/>
            </w:r>
            <w:r w:rsidRPr="00A43F4D">
              <w:rPr>
                <w:rStyle w:val="synop1"/>
                <w:rFonts w:eastAsia="Arial Unicode MS"/>
                <w:b/>
                <w:bCs/>
                <w:color w:val="333333"/>
              </w:rPr>
              <w:t>—Art in the Synagogue:</w:t>
            </w:r>
            <w:bookmarkEnd w:id="2"/>
            <w:r w:rsidRPr="00A43F4D">
              <w:rPr>
                <w:rFonts w:eastAsia="Arial Unicode MS"/>
                <w:color w:val="333333"/>
                <w:sz w:val="21"/>
                <w:szCs w:val="21"/>
              </w:rPr>
              <w:t xml:space="preserve"> </w:t>
            </w:r>
          </w:p>
          <w:p w:rsidR="00AC1F28" w:rsidRPr="00A43F4D" w:rsidRDefault="00AC1F28" w:rsidP="00F57F1C">
            <w:pPr>
              <w:pStyle w:val="NormalWeb"/>
              <w:rPr>
                <w:rFonts w:eastAsia="Arial Unicode MS"/>
                <w:color w:val="333333"/>
                <w:sz w:val="21"/>
                <w:szCs w:val="21"/>
              </w:rPr>
            </w:pPr>
            <w:r w:rsidRPr="00A43F4D">
              <w:rPr>
                <w:rFonts w:eastAsia="Arial Unicode MS"/>
                <w:color w:val="333333"/>
                <w:sz w:val="21"/>
                <w:szCs w:val="21"/>
              </w:rPr>
              <w:t>This is restricted for the reason that it distracts the thought of the worshiper at prayer. A prohibition against copying the forms of the cherubim of the sanctuary or the four animals of the Chariot for synagogue use was deduced from the words of the Decalogue, "Ye shall not make 'with me'" (Mek., Yitro, 10; 'Ab. Zarah 43</w:t>
            </w:r>
            <w:r w:rsidRPr="00A43F4D">
              <w:rPr>
                <w:rFonts w:eastAsia="Arial Unicode MS"/>
                <w:i/>
                <w:iCs/>
                <w:color w:val="333333"/>
                <w:sz w:val="21"/>
                <w:szCs w:val="21"/>
              </w:rPr>
              <w:t>a</w:t>
            </w:r>
            <w:r w:rsidRPr="00A43F4D">
              <w:rPr>
                <w:rFonts w:eastAsia="Arial Unicode MS"/>
                <w:color w:val="333333"/>
                <w:sz w:val="21"/>
                <w:szCs w:val="21"/>
              </w:rPr>
              <w:t xml:space="preserve">), but it was held not to apply to the lion alone, when shown without the other animals of the Chariot group; hence this animal was extensively used as an ornament on the Ark and as the ensign of Judah. The synagogue of Ascoli in Italy had an Ark of gilt walnut with two life-size lions, carved out at the bottom, flanking the steps </w:t>
            </w:r>
            <w:r w:rsidRPr="00A43F4D">
              <w:rPr>
                <w:rFonts w:eastAsia="Arial Unicode MS"/>
                <w:color w:val="333333"/>
                <w:sz w:val="21"/>
                <w:szCs w:val="21"/>
              </w:rPr>
              <w:lastRenderedPageBreak/>
              <w:t>leading to the doors behind which the scrolls were deposited. After the expulsion of the Jews in 1569 the Ark was removed to Pesaro (D. Kaufmann, in "Jew. Quart. Rev." ix. 254-269). R. Moses Trani, in answer to an inquiry, decided that a bas-relief sculpture of a lion should not be permitted to remain within an Ark of the Lord (Responsa, i. 30, quoted in "Le</w:t>
            </w:r>
            <w:r w:rsidRPr="00A43F4D">
              <w:rPr>
                <w:rFonts w:eastAsia="Arial Unicode MS" w:hAnsi="Arial Unicode MS"/>
                <w:color w:val="333333"/>
                <w:sz w:val="21"/>
                <w:szCs w:val="21"/>
              </w:rPr>
              <w:t>ḳ</w:t>
            </w:r>
            <w:r w:rsidRPr="00A43F4D">
              <w:rPr>
                <w:rFonts w:eastAsia="Arial Unicode MS"/>
                <w:color w:val="333333"/>
                <w:sz w:val="21"/>
                <w:szCs w:val="21"/>
              </w:rPr>
              <w:t>e</w:t>
            </w:r>
            <w:r w:rsidRPr="00A43F4D">
              <w:rPr>
                <w:rFonts w:eastAsia="Arial Unicode MS" w:hAnsi="Arial Unicode MS"/>
                <w:color w:val="333333"/>
                <w:sz w:val="21"/>
                <w:szCs w:val="21"/>
              </w:rPr>
              <w:t>ṭ</w:t>
            </w:r>
            <w:r w:rsidRPr="00A43F4D">
              <w:rPr>
                <w:rFonts w:eastAsia="Arial Unicode MS"/>
                <w:color w:val="333333"/>
                <w:sz w:val="21"/>
                <w:szCs w:val="21"/>
              </w:rPr>
              <w:t xml:space="preserve"> ha-</w:t>
            </w:r>
            <w:r w:rsidRPr="00A43F4D">
              <w:rPr>
                <w:rFonts w:eastAsia="Arial Unicode MS" w:hAnsi="Arial Unicode MS"/>
                <w:color w:val="333333"/>
                <w:sz w:val="21"/>
                <w:szCs w:val="21"/>
              </w:rPr>
              <w:t>Ḳ</w:t>
            </w:r>
            <w:r w:rsidRPr="00A43F4D">
              <w:rPr>
                <w:rFonts w:eastAsia="Arial Unicode MS"/>
                <w:color w:val="333333"/>
                <w:sz w:val="21"/>
                <w:szCs w:val="21"/>
              </w:rPr>
              <w:t>ema</w:t>
            </w:r>
            <w:r w:rsidRPr="00A43F4D">
              <w:rPr>
                <w:rFonts w:eastAsia="Arial Unicode MS" w:hAnsi="Arial Unicode MS"/>
                <w:color w:val="333333"/>
                <w:sz w:val="21"/>
                <w:szCs w:val="21"/>
              </w:rPr>
              <w:t>Ḧ</w:t>
            </w:r>
            <w:r w:rsidRPr="00A43F4D">
              <w:rPr>
                <w:rFonts w:eastAsia="Arial Unicode MS"/>
                <w:color w:val="333333"/>
                <w:sz w:val="21"/>
                <w:szCs w:val="21"/>
              </w:rPr>
              <w:t>," p. 36</w:t>
            </w:r>
            <w:r w:rsidRPr="00A43F4D">
              <w:rPr>
                <w:rFonts w:eastAsia="Arial Unicode MS"/>
                <w:i/>
                <w:iCs/>
                <w:color w:val="333333"/>
                <w:sz w:val="21"/>
                <w:szCs w:val="21"/>
              </w:rPr>
              <w:t>b</w:t>
            </w:r>
            <w:r w:rsidRPr="00A43F4D">
              <w:rPr>
                <w:rFonts w:eastAsia="Arial Unicode MS"/>
                <w:color w:val="333333"/>
                <w:sz w:val="21"/>
                <w:szCs w:val="21"/>
              </w:rPr>
              <w:t xml:space="preserve">). </w:t>
            </w:r>
          </w:p>
          <w:p w:rsidR="00AC1F28" w:rsidRPr="00A43F4D" w:rsidRDefault="00AC1F28" w:rsidP="00F57F1C">
            <w:pPr>
              <w:pStyle w:val="NormalWeb"/>
              <w:rPr>
                <w:rFonts w:eastAsia="Arial Unicode MS"/>
                <w:color w:val="333333"/>
                <w:sz w:val="21"/>
                <w:szCs w:val="21"/>
              </w:rPr>
            </w:pPr>
            <w:r w:rsidRPr="00A43F4D">
              <w:rPr>
                <w:rFonts w:eastAsia="Arial Unicode MS"/>
                <w:color w:val="333333"/>
                <w:sz w:val="21"/>
                <w:szCs w:val="21"/>
              </w:rPr>
              <w:t xml:space="preserve">David ibn Zimra, in the case of one who built a synagogue in Crete and wished to place a crowned lion on the top of the Ark—the design of his coat of arms—decided against it (Responsa, No. 107). </w:t>
            </w:r>
          </w:p>
          <w:p w:rsidR="00AC1F28" w:rsidRPr="00A43F4D" w:rsidRDefault="00AC1F28" w:rsidP="00F57F1C">
            <w:pPr>
              <w:pStyle w:val="NormalWeb"/>
              <w:rPr>
                <w:rFonts w:eastAsia="Arial Unicode MS"/>
                <w:color w:val="333333"/>
                <w:sz w:val="21"/>
                <w:szCs w:val="21"/>
              </w:rPr>
            </w:pPr>
            <w:r w:rsidRPr="00A43F4D">
              <w:rPr>
                <w:rFonts w:eastAsia="Arial Unicode MS"/>
                <w:color w:val="333333"/>
                <w:sz w:val="21"/>
                <w:szCs w:val="21"/>
              </w:rPr>
              <w:t>Judah Minz of Padua would not allow Hertz Werth, a rich member of his congregation, to place before the Ark an embroidered curtain with a basrelief of a deer set in pearls, being his coat of arms, while other rabbis permitted it. Finally, a compromise was reached by Rabbi Isaac Castiglione, who allowed the figure of the deer to be embroidered on the curtain without forming a bas-relief (J. Caro, "Ab</w:t>
            </w:r>
            <w:r w:rsidRPr="00A43F4D">
              <w:rPr>
                <w:rFonts w:eastAsia="Arial Unicode MS" w:hAnsi="Arial Unicode MS"/>
                <w:color w:val="333333"/>
                <w:sz w:val="21"/>
                <w:szCs w:val="21"/>
              </w:rPr>
              <w:t>ḳ</w:t>
            </w:r>
            <w:r w:rsidRPr="00A43F4D">
              <w:rPr>
                <w:rFonts w:eastAsia="Arial Unicode MS"/>
                <w:color w:val="333333"/>
                <w:sz w:val="21"/>
                <w:szCs w:val="21"/>
              </w:rPr>
              <w:t>at Rokel," Responsa, No. 65). Joseph Caro, in reply to a question, permitted figures of birds to be embroidered on the curtain (</w:t>
            </w:r>
            <w:r w:rsidRPr="00A43F4D">
              <w:rPr>
                <w:rFonts w:eastAsia="Arial Unicode MS"/>
                <w:i/>
                <w:iCs/>
                <w:color w:val="333333"/>
                <w:sz w:val="21"/>
                <w:szCs w:val="21"/>
              </w:rPr>
              <w:t>ib.</w:t>
            </w:r>
            <w:r w:rsidRPr="00A43F4D">
              <w:rPr>
                <w:rFonts w:eastAsia="Arial Unicode MS"/>
                <w:color w:val="333333"/>
                <w:sz w:val="21"/>
                <w:szCs w:val="21"/>
              </w:rPr>
              <w:t xml:space="preserve"> No. 66). While R. Eliakim ordered paintings of lions and snakes to be erased from the walls of the synagogue at Cologne, R. Ephraim permitted the painting of horses and birds on the walls of the synagogue (Mordecai, 'Ab. Zarah iii.; "Bet Joseph" to Tur Yoreh De'ah, § 141). Indeed, curtains embroidered with figures are in use in almost every country where the Jews are scattered, without any fear of disturbing the thought of worshipers in the synagogue, for the reason that artistic decoration in honor of the Torah is regarded as appropriate, and the worshiper, if he be disturbed by it, needs not observe the figures, as he can shut his eyes during prayer ("Ab</w:t>
            </w:r>
            <w:r w:rsidRPr="00A43F4D">
              <w:rPr>
                <w:rFonts w:eastAsia="Arial Unicode MS" w:hAnsi="Arial Unicode MS"/>
                <w:color w:val="333333"/>
                <w:sz w:val="21"/>
                <w:szCs w:val="21"/>
              </w:rPr>
              <w:t>ḳ</w:t>
            </w:r>
            <w:r w:rsidRPr="00A43F4D">
              <w:rPr>
                <w:rFonts w:eastAsia="Arial Unicode MS"/>
                <w:color w:val="333333"/>
                <w:sz w:val="21"/>
                <w:szCs w:val="21"/>
              </w:rPr>
              <w:t xml:space="preserve">at Rokel," Responsa, No. 66). </w:t>
            </w:r>
          </w:p>
          <w:p w:rsidR="00AC1F28" w:rsidRPr="00A43F4D" w:rsidRDefault="00AC1F28" w:rsidP="00F57F1C">
            <w:pPr>
              <w:pStyle w:val="NormalWeb"/>
              <w:rPr>
                <w:rFonts w:eastAsia="Arial Unicode MS"/>
                <w:color w:val="333333"/>
                <w:sz w:val="21"/>
                <w:szCs w:val="21"/>
              </w:rPr>
            </w:pPr>
            <w:r w:rsidRPr="00A43F4D">
              <w:rPr>
                <w:rFonts w:eastAsia="Arial Unicode MS"/>
                <w:color w:val="333333"/>
                <w:sz w:val="21"/>
                <w:szCs w:val="21"/>
              </w:rPr>
              <w:t xml:space="preserve">On the other hand, Elijah Capsali decided against any decoration in the synagogue which employed figures of animals as part of the design. R. Samuel Archevolti objected to the decorations of the Safed synagogue, and his opinion received the approbation of Moses Alsheik and R. Jacob BeRab ("Jew. Quart. Rev." </w:t>
            </w:r>
            <w:r w:rsidRPr="00A43F4D">
              <w:rPr>
                <w:rFonts w:eastAsia="Arial Unicode MS"/>
                <w:i/>
                <w:iCs/>
                <w:color w:val="333333"/>
                <w:sz w:val="21"/>
                <w:szCs w:val="21"/>
              </w:rPr>
              <w:t>ib.</w:t>
            </w:r>
            <w:r w:rsidRPr="00A43F4D">
              <w:rPr>
                <w:rFonts w:eastAsia="Arial Unicode MS"/>
                <w:color w:val="333333"/>
                <w:sz w:val="21"/>
                <w:szCs w:val="21"/>
              </w:rPr>
              <w:t>). Moses Sofer ruled against a stained-glass window above the Ark bearing the figure of the sun with rays and inscribed: "From the rising of the sun even to the going down of the same the Lord's name is to be praised," on the ground that the people bowing to the Ark, on entering the synagogue, would be worshiping the sun ("</w:t>
            </w:r>
            <w:r w:rsidRPr="00A43F4D">
              <w:rPr>
                <w:rFonts w:eastAsia="Arial Unicode MS" w:hAnsi="Arial Unicode MS"/>
                <w:color w:val="333333"/>
                <w:sz w:val="21"/>
                <w:szCs w:val="21"/>
              </w:rPr>
              <w:t>Ḥ</w:t>
            </w:r>
            <w:r w:rsidRPr="00A43F4D">
              <w:rPr>
                <w:rFonts w:eastAsia="Arial Unicode MS"/>
                <w:color w:val="333333"/>
                <w:sz w:val="21"/>
                <w:szCs w:val="21"/>
              </w:rPr>
              <w:t xml:space="preserve">atam Sofer," Responsa, No. 129). </w:t>
            </w:r>
          </w:p>
          <w:p w:rsidR="00AC1F28" w:rsidRPr="00A43F4D" w:rsidRDefault="00AC1F28" w:rsidP="00F57F1C">
            <w:pPr>
              <w:pStyle w:val="NormalWeb"/>
              <w:rPr>
                <w:rFonts w:eastAsia="Arial Unicode MS"/>
                <w:color w:val="333333"/>
                <w:sz w:val="21"/>
                <w:szCs w:val="21"/>
              </w:rPr>
            </w:pPr>
            <w:r w:rsidRPr="00A43F4D">
              <w:rPr>
                <w:rFonts w:eastAsia="Arial Unicode MS"/>
                <w:color w:val="333333"/>
                <w:sz w:val="21"/>
                <w:szCs w:val="21"/>
              </w:rPr>
              <w:t>A case occurred where a representation of a "menorah" (</w:t>
            </w:r>
            <w:r w:rsidRPr="00A43F4D">
              <w:rPr>
                <w:rFonts w:eastAsia="Arial Unicode MS" w:hAnsi="Arial Unicode MS"/>
                <w:color w:val="333333"/>
                <w:sz w:val="21"/>
                <w:szCs w:val="21"/>
              </w:rPr>
              <w:t>Ḥ</w:t>
            </w:r>
            <w:r w:rsidRPr="00A43F4D">
              <w:rPr>
                <w:rFonts w:eastAsia="Arial Unicode MS"/>
                <w:color w:val="333333"/>
                <w:sz w:val="21"/>
                <w:szCs w:val="21"/>
              </w:rPr>
              <w:t>anukkah lamp) had been painted on the Ark, with a different verse of the Seventy-seventh Psalm for each of the seven branches, and on the occasion of its renovation the ambitious artist signed his name to it. R. David ibn Zimra (Responsa, No. 107) said he had no objection to the replacement of the old design by a more artistic painting; but he ordered the signature to be erased, as that innovation was likely to attract attention, and was disrespectful in a synagogue. The same decision is rendered by Mendel Krochmal ("</w:t>
            </w:r>
            <w:r w:rsidRPr="00A43F4D">
              <w:rPr>
                <w:rFonts w:eastAsia="Arial Unicode MS" w:hAnsi="Arial Unicode MS"/>
                <w:color w:val="333333"/>
                <w:sz w:val="21"/>
                <w:szCs w:val="21"/>
              </w:rPr>
              <w:t>Ẓ</w:t>
            </w:r>
            <w:r w:rsidRPr="00A43F4D">
              <w:rPr>
                <w:rFonts w:eastAsia="Arial Unicode MS"/>
                <w:color w:val="333333"/>
                <w:sz w:val="21"/>
                <w:szCs w:val="21"/>
              </w:rPr>
              <w:t>ema</w:t>
            </w:r>
            <w:r w:rsidRPr="00A43F4D">
              <w:rPr>
                <w:rFonts w:eastAsia="Arial Unicode MS" w:hAnsi="Arial Unicode MS"/>
                <w:color w:val="333333"/>
                <w:sz w:val="21"/>
                <w:szCs w:val="21"/>
              </w:rPr>
              <w:t>Ḧ</w:t>
            </w:r>
            <w:r w:rsidRPr="00A43F4D">
              <w:rPr>
                <w:rFonts w:eastAsia="Arial Unicode MS"/>
                <w:color w:val="333333"/>
                <w:sz w:val="21"/>
                <w:szCs w:val="21"/>
              </w:rPr>
              <w:t xml:space="preserve"> Zede</w:t>
            </w:r>
            <w:r w:rsidRPr="00A43F4D">
              <w:rPr>
                <w:rFonts w:eastAsia="Arial Unicode MS" w:hAnsi="Arial Unicode MS"/>
                <w:color w:val="333333"/>
                <w:sz w:val="21"/>
                <w:szCs w:val="21"/>
              </w:rPr>
              <w:t>ḳ</w:t>
            </w:r>
            <w:r w:rsidRPr="00A43F4D">
              <w:rPr>
                <w:rFonts w:eastAsia="Arial Unicode MS"/>
                <w:color w:val="333333"/>
                <w:sz w:val="21"/>
                <w:szCs w:val="21"/>
              </w:rPr>
              <w:t>," Responsa, No. 50).</w:t>
            </w:r>
            <w:r w:rsidRPr="00A43F4D">
              <w:rPr>
                <w:rStyle w:val="artauthor1"/>
                <w:rFonts w:eastAsia="Arial Unicode MS"/>
                <w:color w:val="333333"/>
              </w:rPr>
              <w:t>K.</w:t>
            </w:r>
            <w:r w:rsidRPr="00A43F4D">
              <w:rPr>
                <w:rFonts w:eastAsia="Arial Unicode MS"/>
                <w:color w:val="333333"/>
                <w:sz w:val="21"/>
                <w:szCs w:val="21"/>
              </w:rPr>
              <w:t xml:space="preserve"> </w:t>
            </w:r>
            <w:r w:rsidRPr="00A43F4D">
              <w:rPr>
                <w:rStyle w:val="artauthor1"/>
                <w:rFonts w:eastAsia="Arial Unicode MS"/>
                <w:color w:val="333333"/>
              </w:rPr>
              <w:t>J. D. E.</w:t>
            </w:r>
            <w:r w:rsidRPr="00A43F4D">
              <w:rPr>
                <w:rFonts w:eastAsia="Arial Unicode MS"/>
                <w:color w:val="333333"/>
                <w:sz w:val="21"/>
                <w:szCs w:val="21"/>
              </w:rPr>
              <w:t xml:space="preserve"> </w:t>
            </w:r>
          </w:p>
          <w:p w:rsidR="00AC1F28" w:rsidRPr="00A43F4D" w:rsidRDefault="00AC1F28" w:rsidP="00F57F1C">
            <w:pPr>
              <w:pStyle w:val="NormalWeb"/>
              <w:spacing w:line="15" w:lineRule="atLeast"/>
              <w:rPr>
                <w:rFonts w:eastAsia="Arial Unicode MS"/>
                <w:color w:val="333333"/>
                <w:sz w:val="21"/>
                <w:szCs w:val="21"/>
              </w:rPr>
            </w:pPr>
            <w:r w:rsidRPr="00A43F4D">
              <w:rPr>
                <w:rFonts w:eastAsia="Arial Unicode MS"/>
                <w:color w:val="333333"/>
                <w:sz w:val="21"/>
                <w:szCs w:val="21"/>
              </w:rPr>
              <w:fldChar w:fldCharType="begin"/>
            </w:r>
            <w:r w:rsidRPr="00A43F4D">
              <w:rPr>
                <w:rFonts w:eastAsia="Arial Unicode MS"/>
                <w:color w:val="333333"/>
                <w:sz w:val="21"/>
                <w:szCs w:val="21"/>
              </w:rPr>
              <w:instrText xml:space="preserve"> INCLUDEPICTURE "http://www.jewishencyclopedia.com/images/spacer.gif" \* MERGEFORMATINET </w:instrText>
            </w:r>
            <w:r w:rsidRPr="00A43F4D">
              <w:rPr>
                <w:rFonts w:eastAsia="Arial Unicode MS"/>
                <w:color w:val="333333"/>
                <w:sz w:val="21"/>
                <w:szCs w:val="21"/>
              </w:rPr>
              <w:fldChar w:fldCharType="separate"/>
            </w:r>
            <w:r w:rsidRPr="00A43F4D">
              <w:rPr>
                <w:rFonts w:eastAsia="Arial Unicode MS"/>
                <w:color w:val="333333"/>
                <w:sz w:val="21"/>
                <w:szCs w:val="21"/>
              </w:rPr>
              <w:pict>
                <v:shape id="_x0000_i1027" type="#_x0000_t75" alt="" style="width:225pt;height:.75pt">
                  <v:imagedata r:id="rId17" r:href="rId31"/>
                </v:shape>
              </w:pict>
            </w:r>
            <w:r w:rsidRPr="00A43F4D">
              <w:rPr>
                <w:rFonts w:eastAsia="Arial Unicode MS"/>
                <w:color w:val="333333"/>
                <w:sz w:val="21"/>
                <w:szCs w:val="21"/>
              </w:rPr>
              <w:fldChar w:fldCharType="end"/>
            </w:r>
          </w:p>
        </w:tc>
      </w:tr>
    </w:tbl>
    <w:p w:rsidR="00AC1F28" w:rsidRDefault="00AC1F28" w:rsidP="00AC1F28"/>
    <w:p w:rsidR="00860FB6" w:rsidRDefault="00860FB6" w:rsidP="003B105E">
      <w:pPr>
        <w:rPr>
          <w:b/>
          <w:sz w:val="28"/>
          <w:szCs w:val="28"/>
        </w:rPr>
      </w:pPr>
      <w:bookmarkStart w:id="3" w:name="_GoBack"/>
      <w:bookmarkEnd w:id="3"/>
    </w:p>
    <w:sectPr w:rsidR="00860FB6">
      <w:headerReference w:type="default" r:id="rId32"/>
      <w:footerReference w:type="defaul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1466" w:rsidRDefault="00FB1466" w:rsidP="00F52446">
      <w:pPr>
        <w:spacing w:after="0" w:line="240" w:lineRule="auto"/>
      </w:pPr>
      <w:r>
        <w:separator/>
      </w:r>
    </w:p>
  </w:endnote>
  <w:endnote w:type="continuationSeparator" w:id="0">
    <w:p w:rsidR="00FB1466" w:rsidRDefault="00FB1466" w:rsidP="00F52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09543"/>
      <w:docPartObj>
        <w:docPartGallery w:val="Page Numbers (Bottom of Page)"/>
        <w:docPartUnique/>
      </w:docPartObj>
    </w:sdtPr>
    <w:sdtEndPr>
      <w:rPr>
        <w:noProof/>
      </w:rPr>
    </w:sdtEndPr>
    <w:sdtContent>
      <w:p w:rsidR="00586667" w:rsidRDefault="00586667">
        <w:pPr>
          <w:pStyle w:val="Footer"/>
          <w:jc w:val="right"/>
        </w:pPr>
        <w:r>
          <w:fldChar w:fldCharType="begin"/>
        </w:r>
        <w:r>
          <w:instrText xml:space="preserve"> PAGE   \* MERGEFORMAT </w:instrText>
        </w:r>
        <w:r>
          <w:fldChar w:fldCharType="separate"/>
        </w:r>
        <w:r w:rsidR="00AC1F28">
          <w:rPr>
            <w:noProof/>
          </w:rPr>
          <w:t>4</w:t>
        </w:r>
        <w:r>
          <w:rPr>
            <w:noProof/>
          </w:rPr>
          <w:fldChar w:fldCharType="end"/>
        </w:r>
      </w:p>
    </w:sdtContent>
  </w:sdt>
  <w:p w:rsidR="00586667" w:rsidRDefault="005866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1466" w:rsidRDefault="00FB1466" w:rsidP="00F52446">
      <w:pPr>
        <w:spacing w:after="0" w:line="240" w:lineRule="auto"/>
      </w:pPr>
      <w:r>
        <w:separator/>
      </w:r>
    </w:p>
  </w:footnote>
  <w:footnote w:type="continuationSeparator" w:id="0">
    <w:p w:rsidR="00FB1466" w:rsidRDefault="00FB1466" w:rsidP="00F524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594" w:rsidRPr="00543153" w:rsidRDefault="003B105E" w:rsidP="00471594">
    <w:pPr>
      <w:pStyle w:val="Header"/>
      <w:jc w:val="right"/>
      <w:rPr>
        <w:i/>
      </w:rPr>
    </w:pPr>
    <w:r>
      <w:rPr>
        <w:i/>
        <w:noProof/>
      </w:rPr>
      <w:drawing>
        <wp:anchor distT="0" distB="0" distL="114300" distR="114300" simplePos="0" relativeHeight="251658240" behindDoc="1" locked="0" layoutInCell="1" allowOverlap="1">
          <wp:simplePos x="0" y="0"/>
          <wp:positionH relativeFrom="column">
            <wp:posOffset>-200025</wp:posOffset>
          </wp:positionH>
          <wp:positionV relativeFrom="paragraph">
            <wp:posOffset>-200025</wp:posOffset>
          </wp:positionV>
          <wp:extent cx="1642745" cy="796801"/>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b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2745" cy="796801"/>
                  </a:xfrm>
                  <a:prstGeom prst="rect">
                    <a:avLst/>
                  </a:prstGeom>
                </pic:spPr>
              </pic:pic>
            </a:graphicData>
          </a:graphic>
          <wp14:sizeRelV relativeFrom="margin">
            <wp14:pctHeight>0</wp14:pctHeight>
          </wp14:sizeRelV>
        </wp:anchor>
      </w:drawing>
    </w:r>
    <w:r w:rsidR="00471594" w:rsidRPr="00543153">
      <w:rPr>
        <w:i/>
      </w:rPr>
      <w:t>Pittsburgh, PA 15217</w:t>
    </w:r>
  </w:p>
  <w:p w:rsidR="00471594" w:rsidRPr="00543153" w:rsidRDefault="003B105E" w:rsidP="003B105E">
    <w:pPr>
      <w:pStyle w:val="Header"/>
      <w:tabs>
        <w:tab w:val="left" w:pos="5715"/>
      </w:tabs>
      <w:rPr>
        <w:i/>
      </w:rPr>
    </w:pPr>
    <w:r>
      <w:rPr>
        <w:i/>
      </w:rPr>
      <w:tab/>
    </w:r>
    <w:r>
      <w:rPr>
        <w:i/>
      </w:rPr>
      <w:tab/>
    </w:r>
    <w:r>
      <w:rPr>
        <w:i/>
      </w:rPr>
      <w:tab/>
    </w:r>
    <w:r w:rsidR="00543153" w:rsidRPr="00543153">
      <w:rPr>
        <w:i/>
      </w:rPr>
      <w:t>412-421-2288</w:t>
    </w:r>
  </w:p>
  <w:p w:rsidR="00410439" w:rsidRDefault="00410439" w:rsidP="00471594">
    <w:pPr>
      <w:pStyle w:val="Header"/>
      <w:jc w:val="right"/>
    </w:pPr>
  </w:p>
  <w:p w:rsidR="00384510" w:rsidRDefault="00384510" w:rsidP="0047159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686436"/>
    <w:multiLevelType w:val="hybridMultilevel"/>
    <w:tmpl w:val="8458B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85F4C6D"/>
    <w:multiLevelType w:val="hybridMultilevel"/>
    <w:tmpl w:val="80D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E17A75"/>
    <w:multiLevelType w:val="hybridMultilevel"/>
    <w:tmpl w:val="6332D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510"/>
    <w:rsid w:val="000C5009"/>
    <w:rsid w:val="001147CF"/>
    <w:rsid w:val="00176888"/>
    <w:rsid w:val="001A11AC"/>
    <w:rsid w:val="00222397"/>
    <w:rsid w:val="00225E74"/>
    <w:rsid w:val="0027223C"/>
    <w:rsid w:val="00282D7C"/>
    <w:rsid w:val="002A5C5D"/>
    <w:rsid w:val="002B43EA"/>
    <w:rsid w:val="003009DA"/>
    <w:rsid w:val="0036446A"/>
    <w:rsid w:val="00384510"/>
    <w:rsid w:val="003B105E"/>
    <w:rsid w:val="00410439"/>
    <w:rsid w:val="004257BA"/>
    <w:rsid w:val="00471594"/>
    <w:rsid w:val="005101B9"/>
    <w:rsid w:val="00515830"/>
    <w:rsid w:val="00543153"/>
    <w:rsid w:val="00580D8E"/>
    <w:rsid w:val="00586667"/>
    <w:rsid w:val="00721C84"/>
    <w:rsid w:val="00801DF7"/>
    <w:rsid w:val="00802215"/>
    <w:rsid w:val="008053C3"/>
    <w:rsid w:val="00860FB6"/>
    <w:rsid w:val="008A3695"/>
    <w:rsid w:val="008A5540"/>
    <w:rsid w:val="008C150B"/>
    <w:rsid w:val="00982536"/>
    <w:rsid w:val="00A30535"/>
    <w:rsid w:val="00A5407A"/>
    <w:rsid w:val="00AC1F28"/>
    <w:rsid w:val="00C40742"/>
    <w:rsid w:val="00CE7E28"/>
    <w:rsid w:val="00D31AF6"/>
    <w:rsid w:val="00D87FB0"/>
    <w:rsid w:val="00DC2319"/>
    <w:rsid w:val="00DF5CEC"/>
    <w:rsid w:val="00E24280"/>
    <w:rsid w:val="00E7044E"/>
    <w:rsid w:val="00F13C02"/>
    <w:rsid w:val="00F52446"/>
    <w:rsid w:val="00FA06C6"/>
    <w:rsid w:val="00FB1466"/>
    <w:rsid w:val="00FC6AD5"/>
    <w:rsid w:val="00FD2668"/>
    <w:rsid w:val="00FF4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C0DD3DF-5E2C-46AB-9119-19158AD7E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668"/>
  </w:style>
  <w:style w:type="paragraph" w:styleId="Heading1">
    <w:name w:val="heading 1"/>
    <w:basedOn w:val="Normal"/>
    <w:next w:val="Normal"/>
    <w:link w:val="Heading1Char"/>
    <w:uiPriority w:val="9"/>
    <w:qFormat/>
    <w:rsid w:val="00384510"/>
    <w:pPr>
      <w:keepNext/>
      <w:keepLines/>
      <w:pBdr>
        <w:top w:val="single" w:sz="4" w:space="1" w:color="auto"/>
      </w:pBdr>
      <w:spacing w:before="240" w:after="0"/>
      <w:outlineLvl w:val="0"/>
    </w:pPr>
    <w:rPr>
      <w:rFonts w:asciiTheme="majorHAnsi" w:eastAsiaTheme="majorEastAsia" w:hAnsiTheme="majorHAnsi" w:cstheme="majorBidi"/>
      <w: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524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6"/>
  </w:style>
  <w:style w:type="paragraph" w:styleId="Footer">
    <w:name w:val="footer"/>
    <w:basedOn w:val="Normal"/>
    <w:link w:val="FooterChar"/>
    <w:uiPriority w:val="99"/>
    <w:unhideWhenUsed/>
    <w:rsid w:val="00F5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6"/>
  </w:style>
  <w:style w:type="paragraph" w:styleId="NoSpacing">
    <w:name w:val="No Spacing"/>
    <w:uiPriority w:val="1"/>
    <w:qFormat/>
    <w:rsid w:val="008053C3"/>
    <w:pPr>
      <w:spacing w:after="0" w:line="240" w:lineRule="auto"/>
    </w:pPr>
  </w:style>
  <w:style w:type="paragraph" w:styleId="ListParagraph">
    <w:name w:val="List Paragraph"/>
    <w:basedOn w:val="Normal"/>
    <w:uiPriority w:val="34"/>
    <w:qFormat/>
    <w:rsid w:val="00410439"/>
    <w:pPr>
      <w:ind w:left="720"/>
      <w:contextualSpacing/>
    </w:pPr>
  </w:style>
  <w:style w:type="character" w:styleId="Hyperlink">
    <w:name w:val="Hyperlink"/>
    <w:uiPriority w:val="99"/>
    <w:unhideWhenUsed/>
    <w:rsid w:val="003B105E"/>
    <w:rPr>
      <w:color w:val="3366CC"/>
      <w:u w:val="single"/>
    </w:rPr>
  </w:style>
  <w:style w:type="character" w:customStyle="1" w:styleId="Heading1Char">
    <w:name w:val="Heading 1 Char"/>
    <w:basedOn w:val="DefaultParagraphFont"/>
    <w:link w:val="Heading1"/>
    <w:uiPriority w:val="9"/>
    <w:rsid w:val="00384510"/>
    <w:rPr>
      <w:rFonts w:asciiTheme="majorHAnsi" w:eastAsiaTheme="majorEastAsia" w:hAnsiTheme="majorHAnsi" w:cstheme="majorBidi"/>
      <w:i/>
      <w:sz w:val="32"/>
      <w:szCs w:val="32"/>
    </w:rPr>
  </w:style>
  <w:style w:type="paragraph" w:customStyle="1" w:styleId="m-contentsubtitle">
    <w:name w:val="m-content__subtitle"/>
    <w:basedOn w:val="Normal"/>
    <w:rsid w:val="008C15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ontentmeta">
    <w:name w:val="m-content__meta"/>
    <w:basedOn w:val="Normal"/>
    <w:rsid w:val="008C15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ghten">
    <w:name w:val="lighten"/>
    <w:basedOn w:val="DefaultParagraphFont"/>
    <w:rsid w:val="008C150B"/>
  </w:style>
  <w:style w:type="character" w:customStyle="1" w:styleId="m-contentmeta--item">
    <w:name w:val="m-content__meta--item"/>
    <w:basedOn w:val="DefaultParagraphFont"/>
    <w:rsid w:val="008C150B"/>
  </w:style>
  <w:style w:type="paragraph" w:styleId="Title">
    <w:name w:val="Title"/>
    <w:basedOn w:val="Normal"/>
    <w:next w:val="Normal"/>
    <w:link w:val="TitleChar"/>
    <w:uiPriority w:val="10"/>
    <w:qFormat/>
    <w:rsid w:val="00DF5CE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5CEC"/>
    <w:rPr>
      <w:rFonts w:asciiTheme="majorHAnsi" w:eastAsiaTheme="majorEastAsia" w:hAnsiTheme="majorHAnsi" w:cstheme="majorBidi"/>
      <w:spacing w:val="-10"/>
      <w:kern w:val="28"/>
      <w:sz w:val="56"/>
      <w:szCs w:val="56"/>
    </w:rPr>
  </w:style>
  <w:style w:type="character" w:styleId="HTMLCite">
    <w:name w:val="HTML Cite"/>
    <w:basedOn w:val="DefaultParagraphFont"/>
    <w:uiPriority w:val="99"/>
    <w:semiHidden/>
    <w:unhideWhenUsed/>
    <w:rsid w:val="00AC1F28"/>
    <w:rPr>
      <w:i/>
      <w:iCs/>
    </w:rPr>
  </w:style>
  <w:style w:type="character" w:customStyle="1" w:styleId="welcome1">
    <w:name w:val="welcome1"/>
    <w:basedOn w:val="DefaultParagraphFont"/>
    <w:rsid w:val="00AC1F28"/>
    <w:rPr>
      <w:b/>
      <w:bCs/>
      <w:sz w:val="24"/>
      <w:szCs w:val="24"/>
    </w:rPr>
  </w:style>
  <w:style w:type="character" w:customStyle="1" w:styleId="biblio1">
    <w:name w:val="biblio1"/>
    <w:basedOn w:val="DefaultParagraphFont"/>
    <w:rsid w:val="00AC1F28"/>
    <w:rPr>
      <w:b w:val="0"/>
      <w:bCs w:val="0"/>
      <w:sz w:val="17"/>
      <w:szCs w:val="17"/>
    </w:rPr>
  </w:style>
  <w:style w:type="character" w:customStyle="1" w:styleId="artauthor1">
    <w:name w:val="artauthor1"/>
    <w:basedOn w:val="DefaultParagraphFont"/>
    <w:rsid w:val="00AC1F28"/>
    <w:rPr>
      <w:sz w:val="9"/>
      <w:szCs w:val="9"/>
    </w:rPr>
  </w:style>
  <w:style w:type="character" w:customStyle="1" w:styleId="synop1">
    <w:name w:val="synop1"/>
    <w:basedOn w:val="DefaultParagraphFont"/>
    <w:rsid w:val="00AC1F28"/>
    <w:rPr>
      <w:b w:val="0"/>
      <w:b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496638">
      <w:bodyDiv w:val="1"/>
      <w:marLeft w:val="0"/>
      <w:marRight w:val="0"/>
      <w:marTop w:val="0"/>
      <w:marBottom w:val="0"/>
      <w:divBdr>
        <w:top w:val="none" w:sz="0" w:space="0" w:color="auto"/>
        <w:left w:val="none" w:sz="0" w:space="0" w:color="auto"/>
        <w:bottom w:val="none" w:sz="0" w:space="0" w:color="auto"/>
        <w:right w:val="none" w:sz="0" w:space="0" w:color="auto"/>
      </w:divBdr>
    </w:div>
    <w:div w:id="480925274">
      <w:bodyDiv w:val="1"/>
      <w:marLeft w:val="0"/>
      <w:marRight w:val="0"/>
      <w:marTop w:val="0"/>
      <w:marBottom w:val="0"/>
      <w:divBdr>
        <w:top w:val="none" w:sz="0" w:space="0" w:color="auto"/>
        <w:left w:val="none" w:sz="0" w:space="0" w:color="auto"/>
        <w:bottom w:val="none" w:sz="0" w:space="0" w:color="auto"/>
        <w:right w:val="none" w:sz="0" w:space="0" w:color="auto"/>
      </w:divBdr>
      <w:divsChild>
        <w:div w:id="1684431633">
          <w:marLeft w:val="0"/>
          <w:marRight w:val="0"/>
          <w:marTop w:val="0"/>
          <w:marBottom w:val="0"/>
          <w:divBdr>
            <w:top w:val="none" w:sz="0" w:space="0" w:color="auto"/>
            <w:left w:val="none" w:sz="0" w:space="0" w:color="auto"/>
            <w:bottom w:val="none" w:sz="0" w:space="0" w:color="auto"/>
            <w:right w:val="none" w:sz="0" w:space="0" w:color="auto"/>
          </w:divBdr>
        </w:div>
      </w:divsChild>
    </w:div>
    <w:div w:id="643237238">
      <w:bodyDiv w:val="1"/>
      <w:marLeft w:val="0"/>
      <w:marRight w:val="0"/>
      <w:marTop w:val="0"/>
      <w:marBottom w:val="0"/>
      <w:divBdr>
        <w:top w:val="none" w:sz="0" w:space="0" w:color="auto"/>
        <w:left w:val="none" w:sz="0" w:space="0" w:color="auto"/>
        <w:bottom w:val="none" w:sz="0" w:space="0" w:color="auto"/>
        <w:right w:val="none" w:sz="0" w:space="0" w:color="auto"/>
      </w:divBdr>
      <w:divsChild>
        <w:div w:id="715548590">
          <w:marLeft w:val="0"/>
          <w:marRight w:val="420"/>
          <w:marTop w:val="0"/>
          <w:marBottom w:val="0"/>
          <w:divBdr>
            <w:top w:val="none" w:sz="0" w:space="0" w:color="auto"/>
            <w:left w:val="none" w:sz="0" w:space="0" w:color="auto"/>
            <w:bottom w:val="none" w:sz="0" w:space="0" w:color="auto"/>
            <w:right w:val="none" w:sz="0" w:space="0" w:color="auto"/>
          </w:divBdr>
          <w:divsChild>
            <w:div w:id="69476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93767">
      <w:bodyDiv w:val="1"/>
      <w:marLeft w:val="0"/>
      <w:marRight w:val="0"/>
      <w:marTop w:val="0"/>
      <w:marBottom w:val="0"/>
      <w:divBdr>
        <w:top w:val="none" w:sz="0" w:space="0" w:color="auto"/>
        <w:left w:val="none" w:sz="0" w:space="0" w:color="auto"/>
        <w:bottom w:val="none" w:sz="0" w:space="0" w:color="auto"/>
        <w:right w:val="none" w:sz="0" w:space="0" w:color="auto"/>
      </w:divBdr>
      <w:divsChild>
        <w:div w:id="1404449239">
          <w:marLeft w:val="0"/>
          <w:marRight w:val="0"/>
          <w:marTop w:val="240"/>
          <w:marBottom w:val="0"/>
          <w:divBdr>
            <w:top w:val="none" w:sz="0" w:space="0" w:color="auto"/>
            <w:left w:val="none" w:sz="0" w:space="0" w:color="auto"/>
            <w:bottom w:val="none" w:sz="0" w:space="0" w:color="auto"/>
            <w:right w:val="none" w:sz="0" w:space="0" w:color="auto"/>
          </w:divBdr>
          <w:divsChild>
            <w:div w:id="8928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4553">
      <w:bodyDiv w:val="1"/>
      <w:marLeft w:val="0"/>
      <w:marRight w:val="0"/>
      <w:marTop w:val="0"/>
      <w:marBottom w:val="0"/>
      <w:divBdr>
        <w:top w:val="none" w:sz="0" w:space="0" w:color="auto"/>
        <w:left w:val="none" w:sz="0" w:space="0" w:color="auto"/>
        <w:bottom w:val="none" w:sz="0" w:space="0" w:color="auto"/>
        <w:right w:val="none" w:sz="0" w:space="0" w:color="auto"/>
      </w:divBdr>
      <w:divsChild>
        <w:div w:id="1771049026">
          <w:marLeft w:val="0"/>
          <w:marRight w:val="0"/>
          <w:marTop w:val="0"/>
          <w:marBottom w:val="0"/>
          <w:divBdr>
            <w:top w:val="none" w:sz="0" w:space="0" w:color="auto"/>
            <w:left w:val="none" w:sz="0" w:space="0" w:color="auto"/>
            <w:bottom w:val="none" w:sz="0" w:space="0" w:color="auto"/>
            <w:right w:val="none" w:sz="0" w:space="0" w:color="auto"/>
          </w:divBdr>
          <w:divsChild>
            <w:div w:id="1106465630">
              <w:marLeft w:val="0"/>
              <w:marRight w:val="0"/>
              <w:marTop w:val="0"/>
              <w:marBottom w:val="0"/>
              <w:divBdr>
                <w:top w:val="none" w:sz="0" w:space="0" w:color="auto"/>
                <w:left w:val="none" w:sz="0" w:space="0" w:color="auto"/>
                <w:bottom w:val="none" w:sz="0" w:space="0" w:color="auto"/>
                <w:right w:val="none" w:sz="0" w:space="0" w:color="auto"/>
              </w:divBdr>
              <w:divsChild>
                <w:div w:id="646711075">
                  <w:marLeft w:val="0"/>
                  <w:marRight w:val="0"/>
                  <w:marTop w:val="0"/>
                  <w:marBottom w:val="0"/>
                  <w:divBdr>
                    <w:top w:val="double" w:sz="2" w:space="29" w:color="DDDDDD"/>
                    <w:left w:val="double" w:sz="2" w:space="14" w:color="DDDDDD"/>
                    <w:bottom w:val="double" w:sz="2" w:space="29" w:color="DDDDDD"/>
                    <w:right w:val="double" w:sz="2" w:space="14" w:color="DDDDDD"/>
                  </w:divBdr>
                </w:div>
              </w:divsChild>
            </w:div>
          </w:divsChild>
        </w:div>
        <w:div w:id="1705446419">
          <w:marLeft w:val="0"/>
          <w:marRight w:val="0"/>
          <w:marTop w:val="0"/>
          <w:marBottom w:val="0"/>
          <w:divBdr>
            <w:top w:val="none" w:sz="0" w:space="0" w:color="auto"/>
            <w:left w:val="none" w:sz="0" w:space="0" w:color="auto"/>
            <w:bottom w:val="none" w:sz="0" w:space="0" w:color="auto"/>
            <w:right w:val="none" w:sz="0" w:space="0" w:color="auto"/>
          </w:divBdr>
          <w:divsChild>
            <w:div w:id="1762602050">
              <w:marLeft w:val="0"/>
              <w:marRight w:val="0"/>
              <w:marTop w:val="0"/>
              <w:marBottom w:val="0"/>
              <w:divBdr>
                <w:top w:val="none" w:sz="0" w:space="0" w:color="auto"/>
                <w:left w:val="none" w:sz="0" w:space="0" w:color="auto"/>
                <w:bottom w:val="none" w:sz="0" w:space="0" w:color="auto"/>
                <w:right w:val="none" w:sz="0" w:space="0" w:color="auto"/>
              </w:divBdr>
              <w:divsChild>
                <w:div w:id="1503205664">
                  <w:marLeft w:val="0"/>
                  <w:marRight w:val="0"/>
                  <w:marTop w:val="0"/>
                  <w:marBottom w:val="0"/>
                  <w:divBdr>
                    <w:top w:val="none" w:sz="0" w:space="0" w:color="auto"/>
                    <w:left w:val="none" w:sz="0" w:space="0" w:color="auto"/>
                    <w:bottom w:val="none" w:sz="0" w:space="0" w:color="auto"/>
                    <w:right w:val="none" w:sz="0" w:space="0" w:color="auto"/>
                  </w:divBdr>
                  <w:divsChild>
                    <w:div w:id="1991324778">
                      <w:marLeft w:val="0"/>
                      <w:marRight w:val="0"/>
                      <w:marTop w:val="0"/>
                      <w:marBottom w:val="0"/>
                      <w:divBdr>
                        <w:top w:val="none" w:sz="0" w:space="0" w:color="auto"/>
                        <w:left w:val="none" w:sz="0" w:space="0" w:color="auto"/>
                        <w:bottom w:val="none" w:sz="0" w:space="0" w:color="auto"/>
                        <w:right w:val="none" w:sz="0" w:space="0" w:color="auto"/>
                      </w:divBdr>
                      <w:divsChild>
                        <w:div w:id="1884516953">
                          <w:marLeft w:val="288"/>
                          <w:marRight w:val="288"/>
                          <w:marTop w:val="0"/>
                          <w:marBottom w:val="0"/>
                          <w:divBdr>
                            <w:top w:val="none" w:sz="0" w:space="0" w:color="auto"/>
                            <w:left w:val="none" w:sz="0" w:space="0" w:color="auto"/>
                            <w:bottom w:val="none" w:sz="0" w:space="0" w:color="auto"/>
                            <w:right w:val="none" w:sz="0" w:space="0" w:color="auto"/>
                          </w:divBdr>
                          <w:divsChild>
                            <w:div w:id="1241520868">
                              <w:marLeft w:val="0"/>
                              <w:marRight w:val="0"/>
                              <w:marTop w:val="0"/>
                              <w:marBottom w:val="576"/>
                              <w:divBdr>
                                <w:top w:val="none" w:sz="0" w:space="0" w:color="auto"/>
                                <w:left w:val="none" w:sz="0" w:space="0" w:color="auto"/>
                                <w:bottom w:val="none" w:sz="0" w:space="0" w:color="auto"/>
                                <w:right w:val="none" w:sz="0" w:space="0" w:color="auto"/>
                              </w:divBdr>
                            </w:div>
                            <w:div w:id="53609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0759260">
      <w:bodyDiv w:val="1"/>
      <w:marLeft w:val="0"/>
      <w:marRight w:val="0"/>
      <w:marTop w:val="0"/>
      <w:marBottom w:val="0"/>
      <w:divBdr>
        <w:top w:val="none" w:sz="0" w:space="0" w:color="auto"/>
        <w:left w:val="none" w:sz="0" w:space="0" w:color="auto"/>
        <w:bottom w:val="none" w:sz="0" w:space="0" w:color="auto"/>
        <w:right w:val="none" w:sz="0" w:space="0" w:color="auto"/>
      </w:divBdr>
    </w:div>
    <w:div w:id="1346590933">
      <w:bodyDiv w:val="1"/>
      <w:marLeft w:val="0"/>
      <w:marRight w:val="0"/>
      <w:marTop w:val="0"/>
      <w:marBottom w:val="0"/>
      <w:divBdr>
        <w:top w:val="none" w:sz="0" w:space="0" w:color="auto"/>
        <w:left w:val="none" w:sz="0" w:space="0" w:color="auto"/>
        <w:bottom w:val="none" w:sz="0" w:space="0" w:color="auto"/>
        <w:right w:val="none" w:sz="0" w:space="0" w:color="auto"/>
      </w:divBdr>
      <w:divsChild>
        <w:div w:id="1869444322">
          <w:marLeft w:val="0"/>
          <w:marRight w:val="0"/>
          <w:marTop w:val="0"/>
          <w:marBottom w:val="0"/>
          <w:divBdr>
            <w:top w:val="none" w:sz="0" w:space="0" w:color="auto"/>
            <w:left w:val="none" w:sz="0" w:space="0" w:color="auto"/>
            <w:bottom w:val="none" w:sz="0" w:space="0" w:color="auto"/>
            <w:right w:val="none" w:sz="0" w:space="0" w:color="auto"/>
          </w:divBdr>
        </w:div>
        <w:div w:id="483619207">
          <w:marLeft w:val="0"/>
          <w:marRight w:val="0"/>
          <w:marTop w:val="0"/>
          <w:marBottom w:val="0"/>
          <w:divBdr>
            <w:top w:val="none" w:sz="0" w:space="0" w:color="auto"/>
            <w:left w:val="none" w:sz="0" w:space="0" w:color="auto"/>
            <w:bottom w:val="none" w:sz="0" w:space="0" w:color="auto"/>
            <w:right w:val="none" w:sz="0" w:space="0" w:color="auto"/>
          </w:divBdr>
        </w:div>
        <w:div w:id="1704135084">
          <w:marLeft w:val="0"/>
          <w:marRight w:val="0"/>
          <w:marTop w:val="0"/>
          <w:marBottom w:val="0"/>
          <w:divBdr>
            <w:top w:val="none" w:sz="0" w:space="0" w:color="auto"/>
            <w:left w:val="none" w:sz="0" w:space="0" w:color="auto"/>
            <w:bottom w:val="none" w:sz="0" w:space="0" w:color="auto"/>
            <w:right w:val="none" w:sz="0" w:space="0" w:color="auto"/>
          </w:divBdr>
        </w:div>
        <w:div w:id="190925415">
          <w:marLeft w:val="0"/>
          <w:marRight w:val="0"/>
          <w:marTop w:val="0"/>
          <w:marBottom w:val="0"/>
          <w:divBdr>
            <w:top w:val="none" w:sz="0" w:space="0" w:color="auto"/>
            <w:left w:val="none" w:sz="0" w:space="0" w:color="auto"/>
            <w:bottom w:val="none" w:sz="0" w:space="0" w:color="auto"/>
            <w:right w:val="none" w:sz="0" w:space="0" w:color="auto"/>
          </w:divBdr>
        </w:div>
        <w:div w:id="1560752260">
          <w:marLeft w:val="0"/>
          <w:marRight w:val="0"/>
          <w:marTop w:val="0"/>
          <w:marBottom w:val="0"/>
          <w:divBdr>
            <w:top w:val="none" w:sz="0" w:space="0" w:color="auto"/>
            <w:left w:val="none" w:sz="0" w:space="0" w:color="auto"/>
            <w:bottom w:val="none" w:sz="0" w:space="0" w:color="auto"/>
            <w:right w:val="none" w:sz="0" w:space="0" w:color="auto"/>
          </w:divBdr>
        </w:div>
        <w:div w:id="1374187962">
          <w:marLeft w:val="0"/>
          <w:marRight w:val="0"/>
          <w:marTop w:val="0"/>
          <w:marBottom w:val="0"/>
          <w:divBdr>
            <w:top w:val="none" w:sz="0" w:space="0" w:color="auto"/>
            <w:left w:val="none" w:sz="0" w:space="0" w:color="auto"/>
            <w:bottom w:val="none" w:sz="0" w:space="0" w:color="auto"/>
            <w:right w:val="none" w:sz="0" w:space="0" w:color="auto"/>
          </w:divBdr>
        </w:div>
        <w:div w:id="166527761">
          <w:marLeft w:val="0"/>
          <w:marRight w:val="0"/>
          <w:marTop w:val="0"/>
          <w:marBottom w:val="0"/>
          <w:divBdr>
            <w:top w:val="none" w:sz="0" w:space="0" w:color="auto"/>
            <w:left w:val="none" w:sz="0" w:space="0" w:color="auto"/>
            <w:bottom w:val="none" w:sz="0" w:space="0" w:color="auto"/>
            <w:right w:val="none" w:sz="0" w:space="0" w:color="auto"/>
          </w:divBdr>
        </w:div>
        <w:div w:id="889266211">
          <w:marLeft w:val="0"/>
          <w:marRight w:val="0"/>
          <w:marTop w:val="0"/>
          <w:marBottom w:val="0"/>
          <w:divBdr>
            <w:top w:val="none" w:sz="0" w:space="0" w:color="auto"/>
            <w:left w:val="none" w:sz="0" w:space="0" w:color="auto"/>
            <w:bottom w:val="none" w:sz="0" w:space="0" w:color="auto"/>
            <w:right w:val="none" w:sz="0" w:space="0" w:color="auto"/>
          </w:divBdr>
        </w:div>
        <w:div w:id="2027095880">
          <w:marLeft w:val="0"/>
          <w:marRight w:val="0"/>
          <w:marTop w:val="0"/>
          <w:marBottom w:val="0"/>
          <w:divBdr>
            <w:top w:val="none" w:sz="0" w:space="0" w:color="auto"/>
            <w:left w:val="none" w:sz="0" w:space="0" w:color="auto"/>
            <w:bottom w:val="none" w:sz="0" w:space="0" w:color="auto"/>
            <w:right w:val="none" w:sz="0" w:space="0" w:color="auto"/>
          </w:divBdr>
        </w:div>
      </w:divsChild>
    </w:div>
    <w:div w:id="1684087644">
      <w:bodyDiv w:val="1"/>
      <w:marLeft w:val="0"/>
      <w:marRight w:val="0"/>
      <w:marTop w:val="0"/>
      <w:marBottom w:val="0"/>
      <w:divBdr>
        <w:top w:val="none" w:sz="0" w:space="0" w:color="auto"/>
        <w:left w:val="none" w:sz="0" w:space="0" w:color="auto"/>
        <w:bottom w:val="none" w:sz="0" w:space="0" w:color="auto"/>
        <w:right w:val="none" w:sz="0" w:space="0" w:color="auto"/>
      </w:divBdr>
      <w:divsChild>
        <w:div w:id="1092699111">
          <w:marLeft w:val="0"/>
          <w:marRight w:val="0"/>
          <w:marTop w:val="255"/>
          <w:marBottom w:val="0"/>
          <w:divBdr>
            <w:top w:val="none" w:sz="0" w:space="0" w:color="auto"/>
            <w:left w:val="none" w:sz="0" w:space="0" w:color="auto"/>
            <w:bottom w:val="none" w:sz="0" w:space="0" w:color="auto"/>
            <w:right w:val="none" w:sz="0" w:space="0" w:color="auto"/>
          </w:divBdr>
        </w:div>
        <w:div w:id="1774091739">
          <w:marLeft w:val="0"/>
          <w:marRight w:val="0"/>
          <w:marTop w:val="0"/>
          <w:marBottom w:val="0"/>
          <w:divBdr>
            <w:top w:val="none" w:sz="0" w:space="0" w:color="auto"/>
            <w:left w:val="none" w:sz="0" w:space="0" w:color="auto"/>
            <w:bottom w:val="none" w:sz="0" w:space="0" w:color="auto"/>
            <w:right w:val="none" w:sz="0" w:space="0" w:color="auto"/>
          </w:divBdr>
          <w:divsChild>
            <w:div w:id="34432620">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zzanmenes.com" TargetMode="External"/><Relationship Id="rId13" Type="http://schemas.openxmlformats.org/officeDocument/2006/relationships/hyperlink" Target="http://lh3.ggpht.com/_NNjxeW9ewEc/TKSpAKg6SiI/AAAAAAAAE7Y/Y7MGG94slhI/s1600-h/tmp8A9_thumb5.jpg" TargetMode="External"/><Relationship Id="rId18" Type="http://schemas.openxmlformats.org/officeDocument/2006/relationships/image" Target="http://www.jewishencyclopedia.com/images/spacer.gif" TargetMode="External"/><Relationship Id="rId26" Type="http://schemas.openxmlformats.org/officeDocument/2006/relationships/hyperlink" Target="http://www.jewishencyclopedia.com/view.jsp?artid=1777&amp;letter=A" TargetMode="External"/><Relationship Id="rId3" Type="http://schemas.openxmlformats.org/officeDocument/2006/relationships/settings" Target="settings.xml"/><Relationship Id="rId21" Type="http://schemas.openxmlformats.org/officeDocument/2006/relationships/hyperlink" Target="http://www.jewishencyclopedia.com/contrib.jsp?cid=C120075&amp;xid=A020180&amp;artid=1823&amp;letter=A" TargetMode="External"/><Relationship Id="rId34"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image" Target="media/image3.jpeg"/><Relationship Id="rId17" Type="http://schemas.openxmlformats.org/officeDocument/2006/relationships/image" Target="media/image6.png"/><Relationship Id="rId25" Type="http://schemas.openxmlformats.org/officeDocument/2006/relationships/hyperlink" Target="http://www.jewishencyclopedia.com/view.jsp?artid=1283&amp;letter=A"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hyperlink" Target="http://www.jewishencyclopedia.com/contrib.jsp?cid=C120089&amp;xid=A020180&amp;artid=1823&amp;letter=A" TargetMode="External"/><Relationship Id="rId29" Type="http://schemas.openxmlformats.org/officeDocument/2006/relationships/hyperlink" Target="http://www.jewishencyclopedia.com/view.jsp?artid=408&amp;letter=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h5.ggpht.com/_NNjxeW9ewEc/TKSo6PxoiVI/AAAAAAAAE7Q/SNJ98NyR7fk/s1600-h/tmp8A8_thumb5.jpg" TargetMode="External"/><Relationship Id="rId24" Type="http://schemas.openxmlformats.org/officeDocument/2006/relationships/hyperlink" Target="http://www.jewishencyclopedia.com/view.jsp?artid=1385&amp;letter=A"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lh6.ggpht.com/_NNjxeW9ewEc/TKSpDZQ0EpI/AAAAAAAAE7g/GU-Fh5eXkpE/s1600-h/tmp8A10_thumb5.jpg" TargetMode="External"/><Relationship Id="rId23" Type="http://schemas.openxmlformats.org/officeDocument/2006/relationships/image" Target="http://www.jewishencyclopedia.com/volume2/V02p142001.jpg" TargetMode="External"/><Relationship Id="rId28" Type="http://schemas.openxmlformats.org/officeDocument/2006/relationships/hyperlink" Target="http://www.jewishencyclopedia.com/view.jsp?artid=332&amp;letter=M" TargetMode="External"/><Relationship Id="rId10" Type="http://schemas.openxmlformats.org/officeDocument/2006/relationships/image" Target="media/image2.jpeg"/><Relationship Id="rId19" Type="http://schemas.openxmlformats.org/officeDocument/2006/relationships/hyperlink" Target="http://www.jewishencyclopedia.com/contrib.jsp?cid=C120074&amp;xid=A020180&amp;artid=1823&amp;letter=A" TargetMode="External"/><Relationship Id="rId31" Type="http://schemas.openxmlformats.org/officeDocument/2006/relationships/image" Target="http://www.jewishencyclopedia.com/images/spacer.gif" TargetMode="External"/><Relationship Id="rId4" Type="http://schemas.openxmlformats.org/officeDocument/2006/relationships/webSettings" Target="webSettings.xml"/><Relationship Id="rId9" Type="http://schemas.openxmlformats.org/officeDocument/2006/relationships/hyperlink" Target="http://lh5.ggpht.com/_NNjxeW9ewEc/TKSoyzXVXiI/AAAAAAAAE7I/80re8ebvx2o/s1600-h/tmp8A7_thumb5.jpg" TargetMode="External"/><Relationship Id="rId14" Type="http://schemas.openxmlformats.org/officeDocument/2006/relationships/image" Target="media/image4.jpeg"/><Relationship Id="rId22" Type="http://schemas.openxmlformats.org/officeDocument/2006/relationships/image" Target="media/image7.jpeg"/><Relationship Id="rId27" Type="http://schemas.openxmlformats.org/officeDocument/2006/relationships/hyperlink" Target="http://www.jewishencyclopedia.com/view.jsp?artid=368&amp;letter=N" TargetMode="External"/><Relationship Id="rId30" Type="http://schemas.openxmlformats.org/officeDocument/2006/relationships/hyperlink" Target="http://www.jewishencyclopedia.com/view.jsp?artid=1002&amp;letter=B" TargetMode="Externa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enes_bethshalompgh\Documents\Custom%20Office%20Templates\CW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CWC</Template>
  <TotalTime>17</TotalTime>
  <Pages>14</Pages>
  <Words>4904</Words>
  <Characters>27959</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Menes</dc:creator>
  <cp:keywords/>
  <dc:description/>
  <cp:lastModifiedBy>Rob Menes</cp:lastModifiedBy>
  <cp:revision>4</cp:revision>
  <dcterms:created xsi:type="dcterms:W3CDTF">2018-05-29T21:21:00Z</dcterms:created>
  <dcterms:modified xsi:type="dcterms:W3CDTF">2018-05-30T13:43:00Z</dcterms:modified>
</cp:coreProperties>
</file>